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8993"/>
      </w:tblGrid>
      <w:tr w:rsidR="00BC3FAC" w14:paraId="70829530" w14:textId="77777777">
        <w:trPr>
          <w:trHeight w:val="1920"/>
        </w:trPr>
        <w:tc>
          <w:tcPr>
            <w:tcW w:w="8993" w:type="dxa"/>
            <w:shd w:val="clear" w:color="auto" w:fill="D9D9D9"/>
          </w:tcPr>
          <w:p w14:paraId="06955067" w14:textId="77777777" w:rsidR="00BC3FAC" w:rsidRDefault="00BC3FAC">
            <w:pPr>
              <w:jc w:val="center"/>
              <w:rPr>
                <w:rFonts w:ascii="Century Gothic" w:hAnsi="Century Gothic"/>
                <w:b/>
                <w:sz w:val="8"/>
              </w:rPr>
            </w:pPr>
          </w:p>
          <w:p w14:paraId="293A34D8" w14:textId="77777777" w:rsidR="00BC3FAC" w:rsidRDefault="00BC3FAC">
            <w:pPr>
              <w:pStyle w:val="berschrift2"/>
              <w:rPr>
                <w:lang w:val="en-GB"/>
              </w:rPr>
            </w:pPr>
            <w:r>
              <w:rPr>
                <w:lang w:val="en-GB"/>
              </w:rPr>
              <w:t>H A U P T S A T Z U N G</w:t>
            </w:r>
          </w:p>
          <w:p w14:paraId="390A0980" w14:textId="77777777" w:rsidR="00BC3FAC" w:rsidRDefault="00BC3FAC">
            <w:pPr>
              <w:jc w:val="center"/>
              <w:rPr>
                <w:rFonts w:ascii="Century Gothic" w:hAnsi="Century Gothic"/>
                <w:b/>
                <w:sz w:val="22"/>
                <w:lang w:val="en-GB"/>
              </w:rPr>
            </w:pPr>
          </w:p>
          <w:p w14:paraId="511B54D5" w14:textId="77777777" w:rsidR="00BC3FAC" w:rsidRDefault="00BC3FAC">
            <w:pPr>
              <w:jc w:val="center"/>
              <w:rPr>
                <w:rFonts w:ascii="Century Gothic" w:hAnsi="Century Gothic"/>
                <w:b/>
                <w:sz w:val="22"/>
              </w:rPr>
            </w:pPr>
            <w:r>
              <w:rPr>
                <w:rFonts w:ascii="Century Gothic" w:hAnsi="Century Gothic"/>
                <w:b/>
                <w:sz w:val="22"/>
              </w:rPr>
              <w:t>der Stadt Bad Marienberg</w:t>
            </w:r>
          </w:p>
          <w:p w14:paraId="20924759" w14:textId="77777777" w:rsidR="00BC3FAC" w:rsidRDefault="00BC3FAC">
            <w:pPr>
              <w:jc w:val="center"/>
              <w:rPr>
                <w:rFonts w:ascii="Century Gothic" w:hAnsi="Century Gothic"/>
                <w:b/>
                <w:sz w:val="22"/>
              </w:rPr>
            </w:pPr>
          </w:p>
          <w:p w14:paraId="26C7DE40" w14:textId="6B9D0854" w:rsidR="00BC3FAC" w:rsidRDefault="00BC3FAC">
            <w:pPr>
              <w:jc w:val="center"/>
              <w:rPr>
                <w:rFonts w:ascii="Century Gothic" w:hAnsi="Century Gothic"/>
                <w:b/>
                <w:sz w:val="22"/>
              </w:rPr>
            </w:pPr>
            <w:r>
              <w:rPr>
                <w:rFonts w:ascii="Century Gothic" w:hAnsi="Century Gothic"/>
                <w:b/>
                <w:sz w:val="22"/>
              </w:rPr>
              <w:t>vom 22. November 2011</w:t>
            </w:r>
            <w:r w:rsidR="009E068F">
              <w:rPr>
                <w:rFonts w:ascii="Century Gothic" w:hAnsi="Century Gothic"/>
                <w:b/>
                <w:sz w:val="22"/>
              </w:rPr>
              <w:t xml:space="preserve">, </w:t>
            </w:r>
            <w:r w:rsidR="00A460D6">
              <w:rPr>
                <w:rFonts w:ascii="Century Gothic" w:hAnsi="Century Gothic"/>
                <w:b/>
                <w:sz w:val="22"/>
              </w:rPr>
              <w:t xml:space="preserve">zuletzt </w:t>
            </w:r>
            <w:r w:rsidR="009E068F">
              <w:rPr>
                <w:rFonts w:ascii="Century Gothic" w:hAnsi="Century Gothic"/>
                <w:b/>
                <w:sz w:val="22"/>
              </w:rPr>
              <w:t xml:space="preserve">geändert durch Satzung vom </w:t>
            </w:r>
            <w:r w:rsidR="003D74F9">
              <w:rPr>
                <w:rFonts w:ascii="Century Gothic" w:hAnsi="Century Gothic"/>
                <w:b/>
                <w:sz w:val="22"/>
              </w:rPr>
              <w:t>17.</w:t>
            </w:r>
            <w:r w:rsidR="00A862B1">
              <w:rPr>
                <w:rFonts w:ascii="Century Gothic" w:hAnsi="Century Gothic"/>
                <w:b/>
                <w:sz w:val="22"/>
              </w:rPr>
              <w:t xml:space="preserve"> Ju</w:t>
            </w:r>
            <w:r w:rsidR="003D74F9">
              <w:rPr>
                <w:rFonts w:ascii="Century Gothic" w:hAnsi="Century Gothic"/>
                <w:b/>
                <w:sz w:val="22"/>
              </w:rPr>
              <w:t>n</w:t>
            </w:r>
            <w:r w:rsidR="00A862B1">
              <w:rPr>
                <w:rFonts w:ascii="Century Gothic" w:hAnsi="Century Gothic"/>
                <w:b/>
                <w:sz w:val="22"/>
              </w:rPr>
              <w:t>i 202</w:t>
            </w:r>
            <w:r w:rsidR="003D74F9">
              <w:rPr>
                <w:rFonts w:ascii="Century Gothic" w:hAnsi="Century Gothic"/>
                <w:b/>
                <w:sz w:val="22"/>
              </w:rPr>
              <w:t>6</w:t>
            </w:r>
          </w:p>
          <w:p w14:paraId="5CA60A93" w14:textId="77777777" w:rsidR="00BC3FAC" w:rsidRDefault="00BC3FAC">
            <w:pPr>
              <w:jc w:val="center"/>
              <w:rPr>
                <w:rFonts w:ascii="Century Gothic" w:hAnsi="Century Gothic"/>
                <w:b/>
                <w:sz w:val="22"/>
              </w:rPr>
            </w:pPr>
          </w:p>
          <w:p w14:paraId="68F0949F" w14:textId="77777777" w:rsidR="00BC3FAC" w:rsidRDefault="00BC3FAC">
            <w:pPr>
              <w:jc w:val="center"/>
              <w:rPr>
                <w:rFonts w:ascii="Century Gothic" w:hAnsi="Century Gothic"/>
                <w:b/>
                <w:sz w:val="22"/>
              </w:rPr>
            </w:pPr>
          </w:p>
        </w:tc>
      </w:tr>
    </w:tbl>
    <w:p w14:paraId="5CA25530" w14:textId="77777777" w:rsidR="00BC3FAC" w:rsidRDefault="00BC3FAC">
      <w:pPr>
        <w:pStyle w:val="Textkrper"/>
        <w:rPr>
          <w:sz w:val="16"/>
        </w:rPr>
      </w:pPr>
    </w:p>
    <w:p w14:paraId="5AAAEAED" w14:textId="77777777" w:rsidR="00BC3FAC" w:rsidRDefault="00BC3FAC">
      <w:pPr>
        <w:pStyle w:val="Textkrper"/>
        <w:rPr>
          <w:sz w:val="16"/>
        </w:rPr>
      </w:pPr>
    </w:p>
    <w:p w14:paraId="6A0373CA" w14:textId="77777777" w:rsidR="00BC3FAC" w:rsidRDefault="00BC3FAC">
      <w:pPr>
        <w:pStyle w:val="Textkrper"/>
      </w:pPr>
      <w:r>
        <w:t>Der Stadtrat hat aufgrund der §§ 24 und 25 der Gemeindeordnung (GemO), der §§ 7 und 8 der Landesverordnung zur Durchführung der Gemeindeordnung (GemODVO), des § 2 der Landesverordnung über die Aufwandsentschädigung kommunaler Ehrenämter (KomAEVO) die folgende Hauptsatzung beschlossen, die hiermit bekanntgemacht wird.</w:t>
      </w:r>
    </w:p>
    <w:p w14:paraId="217E0997" w14:textId="77777777" w:rsidR="00BC3FAC" w:rsidRDefault="00BC3FAC">
      <w:pPr>
        <w:jc w:val="both"/>
        <w:rPr>
          <w:rFonts w:ascii="Century Gothic" w:hAnsi="Century Gothic"/>
          <w:sz w:val="22"/>
        </w:rPr>
      </w:pPr>
    </w:p>
    <w:p w14:paraId="7B42AD55" w14:textId="77777777" w:rsidR="00BC3FAC" w:rsidRDefault="00BC3FAC">
      <w:pPr>
        <w:jc w:val="both"/>
        <w:rPr>
          <w:rFonts w:ascii="Century Gothic" w:hAnsi="Century Gothic"/>
          <w:sz w:val="22"/>
        </w:rPr>
      </w:pPr>
    </w:p>
    <w:p w14:paraId="4800A105"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t>§ 1</w:t>
      </w:r>
    </w:p>
    <w:p w14:paraId="5B2E227E" w14:textId="77777777" w:rsidR="00BC3FAC" w:rsidRDefault="00BC3FAC">
      <w:pPr>
        <w:pStyle w:val="berschrift1"/>
        <w:shd w:val="clear" w:color="auto" w:fill="D9D9D9"/>
        <w:jc w:val="center"/>
        <w:rPr>
          <w:bCs/>
          <w:iCs/>
        </w:rPr>
      </w:pPr>
      <w:r>
        <w:rPr>
          <w:bCs/>
          <w:iCs/>
        </w:rPr>
        <w:t>Öffentliche Bekanntmachungen, Bekanntgaben</w:t>
      </w:r>
    </w:p>
    <w:p w14:paraId="13EE2846" w14:textId="77777777" w:rsidR="00BC3FAC" w:rsidRDefault="00BC3FAC">
      <w:pPr>
        <w:jc w:val="both"/>
        <w:rPr>
          <w:rFonts w:ascii="Century Gothic" w:hAnsi="Century Gothic"/>
          <w:sz w:val="22"/>
        </w:rPr>
      </w:pPr>
    </w:p>
    <w:p w14:paraId="328BB982" w14:textId="77777777" w:rsidR="00BC3FAC" w:rsidRDefault="00BC3FAC">
      <w:pPr>
        <w:jc w:val="both"/>
        <w:rPr>
          <w:rFonts w:ascii="Century Gothic" w:hAnsi="Century Gothic"/>
          <w:sz w:val="22"/>
        </w:rPr>
      </w:pPr>
      <w:r>
        <w:rPr>
          <w:rFonts w:ascii="Century Gothic" w:hAnsi="Century Gothic"/>
          <w:sz w:val="22"/>
        </w:rPr>
        <w:t>(1) Öffentliche Bekanntmachungen der Stadt erfolgen in einer Zeitung. Der Stadtrat entscheidet durch Beschluss, in welcher Zeitung oder in welchen Zeitungen die Veröffentlichungen erfolgen. Der Beschluss ist öffentlich bekannt zu machen.</w:t>
      </w:r>
    </w:p>
    <w:p w14:paraId="35586CEB" w14:textId="77777777" w:rsidR="00BC3FAC" w:rsidRDefault="00BC3FAC">
      <w:pPr>
        <w:jc w:val="both"/>
        <w:rPr>
          <w:rFonts w:ascii="Century Gothic" w:hAnsi="Century Gothic"/>
          <w:sz w:val="22"/>
        </w:rPr>
      </w:pPr>
    </w:p>
    <w:p w14:paraId="1C575228" w14:textId="77777777" w:rsidR="00BC3FAC" w:rsidRDefault="00BC3FAC">
      <w:pPr>
        <w:jc w:val="both"/>
        <w:rPr>
          <w:rFonts w:ascii="Century Gothic" w:hAnsi="Century Gothic"/>
          <w:sz w:val="22"/>
        </w:rPr>
      </w:pPr>
      <w:r>
        <w:rPr>
          <w:rFonts w:ascii="Century Gothic" w:hAnsi="Century Gothic"/>
          <w:sz w:val="22"/>
        </w:rPr>
        <w:t xml:space="preserve">(2) Karten, Pläne oder Zeichnungen und damit verbundene Texte oder Erläuterungen können abweichend von Absatz 1 durch Auslegung in einem Dienstgebäude der Verbandsgemeindeverwaltung Bad Marienberg in Bad Marienberg zu jedermanns Einsicht während der Dienststunden bekanntgemacht werden. In diesem Fall ist auf Gegenstand, Ort (Gebäude und Raum), Frist und Zeit der Auslegung spätestens am Tage vor dem Beginn der Auslegung durch öffentliche Bekanntmachung in der Form des Absatzes 1 hinzuweisen. Die Auslegungsfrist beträgt mindestens sieben volle Werktage. Besteht an dienstfreien Werktagen keine Möglichkeit der Einsichtnahme, so ist die Auslegungsfrist so festzusetzen, dass an mindestens sieben Tagen Einsicht genommen werden kann. </w:t>
      </w:r>
    </w:p>
    <w:p w14:paraId="5CF799C1" w14:textId="77777777" w:rsidR="00BC3FAC" w:rsidRDefault="00BC3FAC">
      <w:pPr>
        <w:jc w:val="both"/>
        <w:rPr>
          <w:rFonts w:ascii="Century Gothic" w:hAnsi="Century Gothic"/>
          <w:sz w:val="22"/>
        </w:rPr>
      </w:pPr>
    </w:p>
    <w:p w14:paraId="21D2570F" w14:textId="77777777" w:rsidR="00BC3FAC" w:rsidRDefault="00BC3FAC">
      <w:pPr>
        <w:jc w:val="both"/>
        <w:rPr>
          <w:rFonts w:ascii="Century Gothic" w:hAnsi="Century Gothic"/>
          <w:sz w:val="22"/>
        </w:rPr>
      </w:pPr>
      <w:r>
        <w:rPr>
          <w:rFonts w:ascii="Century Gothic" w:hAnsi="Century Gothic"/>
          <w:sz w:val="22"/>
        </w:rPr>
        <w:t>(3) Soweit durch Rechtsvorschrift eine öffentliche Auslegung vorgeschrieben ist und hierfür keine besonderen Bestimmungen gelten, gilt Absatz 2 entsprechend.</w:t>
      </w:r>
    </w:p>
    <w:p w14:paraId="1D629B0A" w14:textId="77777777" w:rsidR="00BC3FAC" w:rsidRDefault="00BC3FAC">
      <w:pPr>
        <w:jc w:val="both"/>
        <w:rPr>
          <w:rFonts w:ascii="Century Gothic" w:hAnsi="Century Gothic"/>
          <w:sz w:val="22"/>
        </w:rPr>
      </w:pPr>
    </w:p>
    <w:p w14:paraId="6AE29823" w14:textId="77777777" w:rsidR="00BC3FAC" w:rsidRDefault="00BC3FAC">
      <w:pPr>
        <w:jc w:val="both"/>
        <w:rPr>
          <w:rFonts w:ascii="Century Gothic" w:hAnsi="Century Gothic"/>
          <w:sz w:val="22"/>
        </w:rPr>
      </w:pPr>
      <w:r>
        <w:rPr>
          <w:rFonts w:ascii="Century Gothic" w:hAnsi="Century Gothic"/>
          <w:sz w:val="22"/>
        </w:rPr>
        <w:t xml:space="preserve">(4) Dringliche Sitzungen im Sinne von § 8 Abs. 4 DVO zu § 27 GemO des Stadtrates oder eines Ausschusses werden abweichend von Absatz 1 in der durch den Stadtrat durch Beschluss bestimmten Zeitung bekanntgemacht, sofern eine rechtzeitige Bekanntmachung gemäß Absatz 1 nicht mehr möglich ist. </w:t>
      </w:r>
    </w:p>
    <w:p w14:paraId="11F357D3" w14:textId="77777777" w:rsidR="00BC3FAC" w:rsidRDefault="00BC3FAC">
      <w:pPr>
        <w:jc w:val="both"/>
        <w:rPr>
          <w:rFonts w:ascii="Century Gothic" w:hAnsi="Century Gothic"/>
          <w:sz w:val="22"/>
        </w:rPr>
      </w:pPr>
    </w:p>
    <w:p w14:paraId="3F7CFCB7" w14:textId="77777777" w:rsidR="00BC3FAC" w:rsidRDefault="00BC3FAC">
      <w:pPr>
        <w:jc w:val="both"/>
        <w:rPr>
          <w:rFonts w:ascii="Century Gothic" w:hAnsi="Century Gothic"/>
          <w:sz w:val="22"/>
        </w:rPr>
      </w:pPr>
      <w:r>
        <w:rPr>
          <w:rFonts w:ascii="Century Gothic" w:hAnsi="Century Gothic"/>
          <w:sz w:val="22"/>
        </w:rPr>
        <w:t xml:space="preserve">(5) Kann wegen eines Naturereignisses oder wegen anderer besonderer Umstände die vorgeschriebene Bekanntmachungsform nicht angewandt werden, so erfolgt in unaufschiebbaren Fällen die öffentliche Bekanntmachung durch Aushang am Dienstgebäude der Stadtverwaltung in der Büchtingstraße 3. Die Bekanntmachung ist unverzüglich nach Beseitigung der Hindernisse in der vorgeschriebenen Form nachzuholen, sofern nicht der Inhalt der Bekanntmachung durch Zeitablauf gegenstandslos geworden ist. </w:t>
      </w:r>
    </w:p>
    <w:p w14:paraId="38F7C1C3" w14:textId="77777777" w:rsidR="00BC3FAC" w:rsidRDefault="00BC3FAC">
      <w:pPr>
        <w:jc w:val="both"/>
        <w:rPr>
          <w:rFonts w:ascii="Century Gothic" w:hAnsi="Century Gothic"/>
          <w:sz w:val="22"/>
        </w:rPr>
      </w:pPr>
    </w:p>
    <w:p w14:paraId="13D1220C" w14:textId="77777777" w:rsidR="00BC3FAC" w:rsidRDefault="00BC3FAC">
      <w:pPr>
        <w:jc w:val="both"/>
        <w:rPr>
          <w:rFonts w:ascii="Century Gothic" w:hAnsi="Century Gothic"/>
          <w:sz w:val="22"/>
        </w:rPr>
      </w:pPr>
      <w:r>
        <w:rPr>
          <w:rFonts w:ascii="Century Gothic" w:hAnsi="Century Gothic"/>
          <w:sz w:val="22"/>
        </w:rPr>
        <w:t xml:space="preserve"> (6) Sonstige Bekanntgaben erfolgen gemäß Absatz 1, sofern nicht eine andere Bekanntmachungsform vorgeschrieben ist. </w:t>
      </w:r>
    </w:p>
    <w:p w14:paraId="5913CF6B" w14:textId="77777777" w:rsidR="00BC3FAC" w:rsidRDefault="00BC3FAC">
      <w:pPr>
        <w:jc w:val="both"/>
        <w:rPr>
          <w:rFonts w:ascii="Century Gothic" w:hAnsi="Century Gothic"/>
          <w:sz w:val="22"/>
        </w:rPr>
      </w:pPr>
    </w:p>
    <w:p w14:paraId="68092A63"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lastRenderedPageBreak/>
        <w:t>§ 2</w:t>
      </w:r>
    </w:p>
    <w:p w14:paraId="42AC1518" w14:textId="77777777" w:rsidR="00BC3FAC" w:rsidRDefault="00BC3FAC">
      <w:pPr>
        <w:pStyle w:val="berschrift3"/>
      </w:pPr>
      <w:r>
        <w:t>Ausschüsse des Stadtrates</w:t>
      </w:r>
    </w:p>
    <w:p w14:paraId="5EB22098" w14:textId="77777777" w:rsidR="00BC3FAC" w:rsidRDefault="00BC3FAC">
      <w:pPr>
        <w:jc w:val="both"/>
        <w:rPr>
          <w:rFonts w:ascii="Century Gothic" w:hAnsi="Century Gothic"/>
          <w:sz w:val="22"/>
        </w:rPr>
      </w:pPr>
    </w:p>
    <w:p w14:paraId="7299501E" w14:textId="77777777" w:rsidR="00BC3FAC" w:rsidRDefault="00BC3FAC">
      <w:pPr>
        <w:jc w:val="both"/>
        <w:rPr>
          <w:rFonts w:ascii="Century Gothic" w:hAnsi="Century Gothic"/>
          <w:sz w:val="22"/>
        </w:rPr>
      </w:pPr>
      <w:r>
        <w:rPr>
          <w:rFonts w:ascii="Century Gothic" w:hAnsi="Century Gothic"/>
          <w:sz w:val="22"/>
        </w:rPr>
        <w:t>(1) Der Stadtrat bildet folgende Ausschüsse:</w:t>
      </w:r>
    </w:p>
    <w:p w14:paraId="7EA37420" w14:textId="77777777" w:rsidR="00BC3FAC" w:rsidRDefault="00BC3FAC">
      <w:pPr>
        <w:jc w:val="both"/>
        <w:rPr>
          <w:rFonts w:ascii="Century Gothic" w:hAnsi="Century Gothic"/>
          <w:sz w:val="22"/>
        </w:rPr>
      </w:pPr>
    </w:p>
    <w:p w14:paraId="5FAAD8BF" w14:textId="77777777" w:rsidR="00BC3FAC" w:rsidRDefault="00BC3FAC">
      <w:pPr>
        <w:spacing w:after="80"/>
        <w:jc w:val="both"/>
        <w:rPr>
          <w:rFonts w:ascii="Century Gothic" w:hAnsi="Century Gothic"/>
          <w:sz w:val="22"/>
        </w:rPr>
      </w:pPr>
      <w:r>
        <w:rPr>
          <w:rFonts w:ascii="Century Gothic" w:hAnsi="Century Gothic"/>
          <w:sz w:val="22"/>
        </w:rPr>
        <w:tab/>
        <w:t>a) Haupt- und Finanzausschuss,</w:t>
      </w:r>
    </w:p>
    <w:p w14:paraId="384A1198" w14:textId="77777777" w:rsidR="00BC3FAC" w:rsidRDefault="00BC3FAC">
      <w:pPr>
        <w:jc w:val="both"/>
        <w:rPr>
          <w:rFonts w:ascii="Century Gothic" w:hAnsi="Century Gothic"/>
          <w:sz w:val="22"/>
        </w:rPr>
      </w:pPr>
      <w:r>
        <w:rPr>
          <w:rFonts w:ascii="Century Gothic" w:hAnsi="Century Gothic"/>
          <w:sz w:val="22"/>
        </w:rPr>
        <w:tab/>
        <w:t xml:space="preserve">b) Ausschuss für Raumordnung, Städtebau, Umwelt- </w:t>
      </w:r>
    </w:p>
    <w:p w14:paraId="0C91D7E0" w14:textId="77777777" w:rsidR="00BC3FAC" w:rsidRDefault="00BC3FAC">
      <w:pPr>
        <w:tabs>
          <w:tab w:val="left" w:pos="993"/>
        </w:tabs>
        <w:jc w:val="both"/>
        <w:rPr>
          <w:rFonts w:ascii="Century Gothic" w:hAnsi="Century Gothic"/>
          <w:sz w:val="22"/>
        </w:rPr>
      </w:pPr>
      <w:r>
        <w:rPr>
          <w:rFonts w:ascii="Century Gothic" w:hAnsi="Century Gothic"/>
          <w:sz w:val="22"/>
        </w:rPr>
        <w:tab/>
        <w:t>und Friedhofsfragen,</w:t>
      </w:r>
    </w:p>
    <w:p w14:paraId="5213762E" w14:textId="77777777" w:rsidR="00BC3FAC" w:rsidRDefault="00BC3FAC">
      <w:pPr>
        <w:jc w:val="both"/>
        <w:rPr>
          <w:rFonts w:ascii="Century Gothic" w:hAnsi="Century Gothic"/>
          <w:sz w:val="22"/>
        </w:rPr>
      </w:pPr>
      <w:r>
        <w:rPr>
          <w:rFonts w:ascii="Century Gothic" w:hAnsi="Century Gothic"/>
          <w:sz w:val="22"/>
        </w:rPr>
        <w:tab/>
        <w:t>c) Ausschuss für Jugend und Sport,</w:t>
      </w:r>
    </w:p>
    <w:p w14:paraId="4FA99954" w14:textId="77777777" w:rsidR="00BC3FAC" w:rsidRDefault="00BC3FAC">
      <w:pPr>
        <w:jc w:val="both"/>
        <w:rPr>
          <w:rFonts w:ascii="Century Gothic" w:hAnsi="Century Gothic"/>
          <w:sz w:val="22"/>
        </w:rPr>
      </w:pPr>
      <w:r>
        <w:rPr>
          <w:rFonts w:ascii="Century Gothic" w:hAnsi="Century Gothic"/>
          <w:sz w:val="22"/>
        </w:rPr>
        <w:tab/>
        <w:t>d) Rechnungsprüfungsausschuss,</w:t>
      </w:r>
    </w:p>
    <w:p w14:paraId="386C0475" w14:textId="77777777" w:rsidR="00BC3FAC" w:rsidRDefault="00BC3FAC">
      <w:pPr>
        <w:jc w:val="both"/>
        <w:rPr>
          <w:rFonts w:ascii="Century Gothic" w:hAnsi="Century Gothic"/>
          <w:sz w:val="22"/>
        </w:rPr>
      </w:pPr>
      <w:r>
        <w:rPr>
          <w:rFonts w:ascii="Century Gothic" w:hAnsi="Century Gothic"/>
          <w:sz w:val="22"/>
        </w:rPr>
        <w:tab/>
        <w:t>e) Ausschuss für Wirtschaftsförderung, Tourismus und Kultur.</w:t>
      </w:r>
    </w:p>
    <w:p w14:paraId="22F3C749" w14:textId="77777777" w:rsidR="00BC3FAC" w:rsidRDefault="00BC3FAC">
      <w:pPr>
        <w:jc w:val="both"/>
        <w:rPr>
          <w:rFonts w:ascii="Century Gothic" w:hAnsi="Century Gothic"/>
          <w:sz w:val="22"/>
        </w:rPr>
      </w:pPr>
    </w:p>
    <w:p w14:paraId="7D30F9A2" w14:textId="77777777" w:rsidR="00BC3FAC" w:rsidRDefault="00BC3FAC">
      <w:pPr>
        <w:jc w:val="both"/>
        <w:rPr>
          <w:rFonts w:ascii="Century Gothic" w:hAnsi="Century Gothic"/>
          <w:sz w:val="22"/>
        </w:rPr>
      </w:pPr>
      <w:r>
        <w:rPr>
          <w:rFonts w:ascii="Century Gothic" w:hAnsi="Century Gothic"/>
          <w:sz w:val="22"/>
        </w:rPr>
        <w:t xml:space="preserve">(2) </w:t>
      </w:r>
      <w:r w:rsidR="009F252C" w:rsidRPr="009F252C">
        <w:rPr>
          <w:rFonts w:ascii="Century Gothic" w:hAnsi="Century Gothic"/>
          <w:sz w:val="22"/>
        </w:rPr>
        <w:t>Der Ausschuss gemäß Absatz 1a) hat 9 Mitglieder und 9 Stellvertreter. Die Ausschüsse gemäß Absatz 1b) und 1c) bestehen aus 11 Mitgliedern und 11 Stellvertretern. Der Ausschuss gemäß Absatz 1d) besteht aus 5 Mitgliedern und 5 Stellvertretern. Der Ausschuss gemäß Absatz 1e) besteht aus 14 Mitgliedern und 14 Stellvertretern</w:t>
      </w:r>
      <w:r w:rsidR="00A741E8" w:rsidRPr="00A741E8">
        <w:rPr>
          <w:rFonts w:ascii="Century Gothic" w:hAnsi="Century Gothic"/>
          <w:sz w:val="22"/>
        </w:rPr>
        <w:t>.</w:t>
      </w:r>
    </w:p>
    <w:p w14:paraId="5AE5ABF1" w14:textId="77777777" w:rsidR="00BC3FAC" w:rsidRDefault="00BC3FAC">
      <w:pPr>
        <w:jc w:val="both"/>
        <w:rPr>
          <w:rFonts w:ascii="Century Gothic" w:hAnsi="Century Gothic"/>
          <w:sz w:val="22"/>
        </w:rPr>
      </w:pPr>
    </w:p>
    <w:p w14:paraId="38023290" w14:textId="77777777" w:rsidR="00BC3FAC" w:rsidRDefault="00BC3FAC">
      <w:pPr>
        <w:jc w:val="both"/>
        <w:rPr>
          <w:rFonts w:ascii="Century Gothic" w:hAnsi="Century Gothic"/>
          <w:sz w:val="22"/>
        </w:rPr>
      </w:pPr>
      <w:r>
        <w:rPr>
          <w:rFonts w:ascii="Century Gothic" w:hAnsi="Century Gothic"/>
          <w:sz w:val="22"/>
        </w:rPr>
        <w:t>(3) Die Mitglieder und Stellvertreter folgender Ausschüsse werden aus der Mitte des Stadtrates gewählt:</w:t>
      </w:r>
    </w:p>
    <w:p w14:paraId="475A9B60" w14:textId="77777777" w:rsidR="00BC3FAC" w:rsidRDefault="00BC3FAC">
      <w:pPr>
        <w:jc w:val="both"/>
        <w:rPr>
          <w:rFonts w:ascii="Century Gothic" w:hAnsi="Century Gothic"/>
          <w:sz w:val="22"/>
        </w:rPr>
      </w:pPr>
    </w:p>
    <w:p w14:paraId="7A077C47" w14:textId="77777777" w:rsidR="00BC3FAC" w:rsidRDefault="00BC3FAC">
      <w:pPr>
        <w:tabs>
          <w:tab w:val="left" w:pos="709"/>
        </w:tabs>
        <w:spacing w:after="80"/>
        <w:jc w:val="both"/>
        <w:rPr>
          <w:rFonts w:ascii="Century Gothic" w:hAnsi="Century Gothic"/>
          <w:sz w:val="22"/>
        </w:rPr>
      </w:pPr>
      <w:r>
        <w:rPr>
          <w:rFonts w:ascii="Century Gothic" w:hAnsi="Century Gothic"/>
          <w:sz w:val="22"/>
        </w:rPr>
        <w:tab/>
        <w:t>Haupt- und Finanzausschuss,</w:t>
      </w:r>
    </w:p>
    <w:p w14:paraId="0C3797CC" w14:textId="77777777" w:rsidR="00BC3FAC" w:rsidRDefault="00BC3FAC">
      <w:pPr>
        <w:tabs>
          <w:tab w:val="left" w:pos="709"/>
        </w:tabs>
        <w:jc w:val="both"/>
        <w:rPr>
          <w:rFonts w:ascii="Century Gothic" w:hAnsi="Century Gothic"/>
          <w:sz w:val="22"/>
        </w:rPr>
      </w:pPr>
      <w:r>
        <w:rPr>
          <w:rFonts w:ascii="Century Gothic" w:hAnsi="Century Gothic"/>
          <w:sz w:val="22"/>
        </w:rPr>
        <w:tab/>
        <w:t>Rechnungsprüfungsausschuss.</w:t>
      </w:r>
    </w:p>
    <w:p w14:paraId="4BC72515" w14:textId="77777777" w:rsidR="00BC3FAC" w:rsidRDefault="00BC3FAC">
      <w:pPr>
        <w:jc w:val="both"/>
        <w:rPr>
          <w:rFonts w:ascii="Century Gothic" w:hAnsi="Century Gothic"/>
          <w:sz w:val="22"/>
        </w:rPr>
      </w:pPr>
    </w:p>
    <w:p w14:paraId="31E66468" w14:textId="77777777" w:rsidR="009F252C" w:rsidRPr="009F252C" w:rsidRDefault="00BC3FAC" w:rsidP="009F252C">
      <w:pPr>
        <w:jc w:val="both"/>
        <w:rPr>
          <w:rFonts w:ascii="Century Gothic" w:hAnsi="Century Gothic"/>
          <w:sz w:val="22"/>
        </w:rPr>
      </w:pPr>
      <w:r>
        <w:rPr>
          <w:rFonts w:ascii="Century Gothic" w:hAnsi="Century Gothic"/>
          <w:sz w:val="22"/>
        </w:rPr>
        <w:t>(4)</w:t>
      </w:r>
      <w:r w:rsidR="009F252C" w:rsidRPr="009F252C">
        <w:t xml:space="preserve"> </w:t>
      </w:r>
      <w:r w:rsidR="009F252C" w:rsidRPr="009F252C">
        <w:rPr>
          <w:rFonts w:ascii="Century Gothic" w:hAnsi="Century Gothic"/>
          <w:sz w:val="22"/>
        </w:rPr>
        <w:t>Die Mitglieder und Stellvertreter der übrigen Ausschüsse nach Absatz 1 können aus der Mitte des Stadtrates und aus sonstigen wählbaren Bürgerinnen und Bürgern der Stadt gewählt werden. Die Zahl der Ratsmitglieder</w:t>
      </w:r>
      <w:r w:rsidR="009F252C" w:rsidRPr="009F252C">
        <w:rPr>
          <w:rFonts w:ascii="Century Gothic" w:hAnsi="Century Gothic"/>
          <w:sz w:val="22"/>
        </w:rPr>
        <w:tab/>
      </w:r>
      <w:r w:rsidR="009F252C" w:rsidRPr="009F252C">
        <w:rPr>
          <w:rFonts w:ascii="Century Gothic" w:hAnsi="Century Gothic"/>
          <w:sz w:val="22"/>
        </w:rPr>
        <w:tab/>
      </w:r>
    </w:p>
    <w:p w14:paraId="6EA6B216" w14:textId="77777777" w:rsidR="009F252C" w:rsidRPr="009F252C" w:rsidRDefault="009F252C" w:rsidP="009F252C">
      <w:pPr>
        <w:tabs>
          <w:tab w:val="left" w:pos="426"/>
          <w:tab w:val="left" w:pos="709"/>
        </w:tabs>
        <w:jc w:val="both"/>
        <w:rPr>
          <w:rFonts w:ascii="Century Gothic" w:hAnsi="Century Gothic"/>
          <w:sz w:val="22"/>
        </w:rPr>
      </w:pPr>
      <w:r>
        <w:rPr>
          <w:rFonts w:ascii="Century Gothic" w:hAnsi="Century Gothic"/>
          <w:sz w:val="22"/>
        </w:rPr>
        <w:tab/>
      </w:r>
      <w:r w:rsidRPr="009F252C">
        <w:rPr>
          <w:rFonts w:ascii="Century Gothic" w:hAnsi="Century Gothic"/>
          <w:sz w:val="22"/>
        </w:rPr>
        <w:t xml:space="preserve">- </w:t>
      </w:r>
      <w:r w:rsidRPr="009F252C">
        <w:rPr>
          <w:rFonts w:ascii="Century Gothic" w:hAnsi="Century Gothic"/>
          <w:sz w:val="22"/>
        </w:rPr>
        <w:tab/>
        <w:t xml:space="preserve">der Ausschüsse nach Absatz 1b) und 1c) beträgt mindestens 6 Mitglieder und </w:t>
      </w:r>
    </w:p>
    <w:p w14:paraId="0C0ADAB3" w14:textId="77777777" w:rsidR="009F252C" w:rsidRPr="009F252C" w:rsidRDefault="009F252C" w:rsidP="009F252C">
      <w:pPr>
        <w:tabs>
          <w:tab w:val="left" w:pos="426"/>
          <w:tab w:val="left" w:pos="709"/>
        </w:tabs>
        <w:jc w:val="both"/>
        <w:rPr>
          <w:rFonts w:ascii="Century Gothic" w:hAnsi="Century Gothic"/>
          <w:sz w:val="22"/>
        </w:rPr>
      </w:pPr>
      <w:r>
        <w:rPr>
          <w:rFonts w:ascii="Century Gothic" w:hAnsi="Century Gothic"/>
          <w:sz w:val="22"/>
        </w:rPr>
        <w:tab/>
      </w:r>
      <w:r w:rsidRPr="009F252C">
        <w:rPr>
          <w:rFonts w:ascii="Century Gothic" w:hAnsi="Century Gothic"/>
          <w:sz w:val="22"/>
        </w:rPr>
        <w:t xml:space="preserve">  </w:t>
      </w:r>
      <w:r w:rsidRPr="009F252C">
        <w:rPr>
          <w:rFonts w:ascii="Century Gothic" w:hAnsi="Century Gothic"/>
          <w:sz w:val="22"/>
        </w:rPr>
        <w:tab/>
        <w:t xml:space="preserve">6 Stellvertreter und </w:t>
      </w:r>
      <w:r w:rsidRPr="009F252C">
        <w:rPr>
          <w:rFonts w:ascii="Century Gothic" w:hAnsi="Century Gothic"/>
          <w:sz w:val="22"/>
        </w:rPr>
        <w:tab/>
      </w:r>
    </w:p>
    <w:p w14:paraId="1774BD4D" w14:textId="77777777" w:rsidR="009F252C" w:rsidRPr="009F252C" w:rsidRDefault="009F252C" w:rsidP="009F252C">
      <w:pPr>
        <w:tabs>
          <w:tab w:val="left" w:pos="426"/>
          <w:tab w:val="left" w:pos="709"/>
        </w:tabs>
        <w:jc w:val="both"/>
        <w:rPr>
          <w:rFonts w:ascii="Century Gothic" w:hAnsi="Century Gothic"/>
          <w:sz w:val="22"/>
        </w:rPr>
      </w:pPr>
      <w:r>
        <w:rPr>
          <w:rFonts w:ascii="Century Gothic" w:hAnsi="Century Gothic"/>
          <w:sz w:val="22"/>
        </w:rPr>
        <w:tab/>
      </w:r>
      <w:r w:rsidRPr="009F252C">
        <w:rPr>
          <w:rFonts w:ascii="Century Gothic" w:hAnsi="Century Gothic"/>
          <w:sz w:val="22"/>
        </w:rPr>
        <w:t xml:space="preserve">- </w:t>
      </w:r>
      <w:r w:rsidRPr="009F252C">
        <w:rPr>
          <w:rFonts w:ascii="Century Gothic" w:hAnsi="Century Gothic"/>
          <w:sz w:val="22"/>
        </w:rPr>
        <w:tab/>
        <w:t xml:space="preserve">des Ausschusses nach Absatz 1e) beträgt mindestens 8 Ratsmitglieder und </w:t>
      </w:r>
    </w:p>
    <w:p w14:paraId="748EF641" w14:textId="77777777" w:rsidR="009F252C" w:rsidRPr="009F252C" w:rsidRDefault="009F252C" w:rsidP="009F252C">
      <w:pPr>
        <w:tabs>
          <w:tab w:val="left" w:pos="426"/>
          <w:tab w:val="left" w:pos="709"/>
        </w:tabs>
        <w:jc w:val="both"/>
        <w:rPr>
          <w:rFonts w:ascii="Century Gothic" w:hAnsi="Century Gothic"/>
          <w:sz w:val="22"/>
        </w:rPr>
      </w:pPr>
      <w:r>
        <w:rPr>
          <w:rFonts w:ascii="Century Gothic" w:hAnsi="Century Gothic"/>
          <w:sz w:val="22"/>
        </w:rPr>
        <w:tab/>
      </w:r>
      <w:r w:rsidRPr="009F252C">
        <w:rPr>
          <w:rFonts w:ascii="Century Gothic" w:hAnsi="Century Gothic"/>
          <w:sz w:val="22"/>
        </w:rPr>
        <w:t xml:space="preserve">   </w:t>
      </w:r>
      <w:r w:rsidRPr="009F252C">
        <w:rPr>
          <w:rFonts w:ascii="Century Gothic" w:hAnsi="Century Gothic"/>
          <w:sz w:val="22"/>
        </w:rPr>
        <w:tab/>
        <w:t>8 Stellvertreter</w:t>
      </w:r>
      <w:r w:rsidRPr="009F252C">
        <w:rPr>
          <w:rFonts w:ascii="Century Gothic" w:hAnsi="Century Gothic"/>
          <w:sz w:val="22"/>
        </w:rPr>
        <w:tab/>
        <w:t>.</w:t>
      </w:r>
    </w:p>
    <w:p w14:paraId="2B8A202A" w14:textId="77777777" w:rsidR="009F252C" w:rsidRPr="004328A0" w:rsidRDefault="009F252C" w:rsidP="009F252C">
      <w:pPr>
        <w:jc w:val="both"/>
        <w:rPr>
          <w:rFonts w:ascii="Century Gothic" w:hAnsi="Century Gothic"/>
          <w:sz w:val="22"/>
        </w:rPr>
      </w:pPr>
      <w:r w:rsidRPr="009F252C">
        <w:rPr>
          <w:rFonts w:ascii="Century Gothic" w:hAnsi="Century Gothic"/>
          <w:sz w:val="22"/>
        </w:rPr>
        <w:t>Die Satzung über die Erhebung eines Fremdenverkehrsbeitrages A ist zu beachten.</w:t>
      </w:r>
    </w:p>
    <w:p w14:paraId="6D00AB2B" w14:textId="77777777" w:rsidR="00BC3FAC" w:rsidRDefault="00BC3FAC">
      <w:pPr>
        <w:jc w:val="both"/>
        <w:rPr>
          <w:rFonts w:ascii="Century Gothic" w:hAnsi="Century Gothic"/>
          <w:sz w:val="22"/>
        </w:rPr>
      </w:pPr>
    </w:p>
    <w:p w14:paraId="4DB38E80" w14:textId="77777777" w:rsidR="00BC3FAC" w:rsidRDefault="00BC3FAC">
      <w:pPr>
        <w:jc w:val="both"/>
        <w:rPr>
          <w:rFonts w:ascii="Century Gothic" w:hAnsi="Century Gothic"/>
          <w:sz w:val="22"/>
        </w:rPr>
      </w:pPr>
      <w:r>
        <w:rPr>
          <w:rFonts w:ascii="Century Gothic" w:hAnsi="Century Gothic"/>
          <w:sz w:val="22"/>
        </w:rPr>
        <w:t xml:space="preserve">(5) Die aufgrund des Gesellschaftsvertrages vom </w:t>
      </w:r>
      <w:r w:rsidR="00A862B1">
        <w:rPr>
          <w:rFonts w:ascii="Century Gothic" w:hAnsi="Century Gothic"/>
          <w:sz w:val="22"/>
        </w:rPr>
        <w:t>07.12.2020</w:t>
      </w:r>
      <w:r>
        <w:rPr>
          <w:rFonts w:ascii="Century Gothic" w:hAnsi="Century Gothic"/>
          <w:sz w:val="22"/>
        </w:rPr>
        <w:t xml:space="preserve"> in den Aufsichtsrat der MarienBad GmbH zu entsendenden 5 Mitglieder (davon ist der </w:t>
      </w:r>
      <w:r w:rsidR="00CC10E1" w:rsidRPr="00E46F74">
        <w:rPr>
          <w:rFonts w:ascii="Century Gothic" w:hAnsi="Century Gothic"/>
          <w:sz w:val="22"/>
        </w:rPr>
        <w:t>Stadtb</w:t>
      </w:r>
      <w:r>
        <w:rPr>
          <w:rFonts w:ascii="Century Gothic" w:hAnsi="Century Gothic"/>
          <w:sz w:val="22"/>
        </w:rPr>
        <w:t>ürgermeister „geborenes“ Mitglied) werden aus der Mitte des Stadtrates gewählt.</w:t>
      </w:r>
    </w:p>
    <w:p w14:paraId="7C6EA454" w14:textId="77777777" w:rsidR="007F03B0" w:rsidRDefault="007F03B0">
      <w:pPr>
        <w:jc w:val="both"/>
        <w:rPr>
          <w:rFonts w:ascii="Century Gothic" w:hAnsi="Century Gothic"/>
          <w:sz w:val="22"/>
        </w:rPr>
      </w:pPr>
    </w:p>
    <w:p w14:paraId="3BA336EF" w14:textId="77777777" w:rsidR="00BC3FAC" w:rsidRDefault="00BC3FAC">
      <w:pPr>
        <w:jc w:val="both"/>
        <w:rPr>
          <w:rFonts w:ascii="Century Gothic" w:hAnsi="Century Gothic"/>
          <w:sz w:val="22"/>
        </w:rPr>
      </w:pPr>
    </w:p>
    <w:p w14:paraId="7F7F3195"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t>§ 3</w:t>
      </w:r>
    </w:p>
    <w:p w14:paraId="4D9E1B43" w14:textId="77777777" w:rsidR="00BC3FAC" w:rsidRDefault="00BC3FAC">
      <w:pPr>
        <w:pStyle w:val="berschrift3"/>
      </w:pPr>
      <w:r>
        <w:t>Übertragung von Aufgaben des Stadtrates auf Ausschüsse</w:t>
      </w:r>
    </w:p>
    <w:p w14:paraId="4588B62D" w14:textId="77777777" w:rsidR="00BC3FAC" w:rsidRDefault="00BC3FAC">
      <w:pPr>
        <w:jc w:val="both"/>
        <w:rPr>
          <w:rFonts w:ascii="Century Gothic" w:hAnsi="Century Gothic"/>
          <w:b/>
          <w:sz w:val="22"/>
        </w:rPr>
      </w:pPr>
    </w:p>
    <w:p w14:paraId="28C1B836" w14:textId="77777777" w:rsidR="00BC3FAC" w:rsidRPr="00A862B1" w:rsidRDefault="00BC3FAC">
      <w:pPr>
        <w:jc w:val="both"/>
        <w:rPr>
          <w:rFonts w:ascii="Century Gothic" w:hAnsi="Century Gothic"/>
          <w:sz w:val="22"/>
          <w:szCs w:val="22"/>
        </w:rPr>
      </w:pPr>
      <w:r w:rsidRPr="00A862B1">
        <w:rPr>
          <w:rFonts w:ascii="Century Gothic" w:hAnsi="Century Gothic"/>
          <w:sz w:val="22"/>
          <w:szCs w:val="22"/>
        </w:rPr>
        <w:t>(1) Die Übertragung der Beschlussfassung über eine bestimmte Angelegenheit auf einen Ausschuss erfolgt durch Beschluss des Stadtrates. Sie gilt bis zum Ende der Wahlzeit des Stadtrates, soweit die Beschlussfassung dem Ausschuss nicht wieder entzogen wird. Die Bestimmungen dieser Hauptsatzung bleiben unberührt.</w:t>
      </w:r>
    </w:p>
    <w:p w14:paraId="2AC4BD9F" w14:textId="77777777" w:rsidR="00BC3FAC" w:rsidRPr="00A862B1" w:rsidRDefault="00BC3FAC">
      <w:pPr>
        <w:jc w:val="both"/>
        <w:rPr>
          <w:rFonts w:ascii="Century Gothic" w:hAnsi="Century Gothic"/>
          <w:sz w:val="22"/>
          <w:szCs w:val="22"/>
        </w:rPr>
      </w:pPr>
    </w:p>
    <w:p w14:paraId="58AB339C" w14:textId="77777777" w:rsidR="00A862B1" w:rsidRPr="00A862B1" w:rsidRDefault="00A862B1" w:rsidP="00A862B1">
      <w:pPr>
        <w:pStyle w:val="Listenabsatz"/>
        <w:ind w:left="0" w:right="125"/>
        <w:rPr>
          <w:rFonts w:cs="Tahoma"/>
          <w:lang w:val="de-DE"/>
        </w:rPr>
      </w:pPr>
      <w:r w:rsidRPr="00A862B1">
        <w:rPr>
          <w:rFonts w:cs="Tahoma"/>
          <w:lang w:val="de-DE"/>
        </w:rPr>
        <w:t>(2) Dem Haupt- und Finanzausschuss wird die Beschlussfassung über die folgenden Angelegenheiten übertragen:</w:t>
      </w:r>
    </w:p>
    <w:p w14:paraId="3AE7C003" w14:textId="77777777" w:rsidR="00A862B1" w:rsidRPr="00A862B1" w:rsidRDefault="00A862B1" w:rsidP="00A862B1">
      <w:pPr>
        <w:pStyle w:val="Listenabsatz"/>
        <w:ind w:left="0" w:right="125"/>
        <w:rPr>
          <w:rFonts w:cs="Tahoma"/>
          <w:lang w:val="de-DE"/>
        </w:rPr>
      </w:pPr>
    </w:p>
    <w:p w14:paraId="67BE12D9" w14:textId="77777777" w:rsidR="00A862B1" w:rsidRPr="00A862B1" w:rsidRDefault="00A862B1" w:rsidP="00A862B1">
      <w:pPr>
        <w:pStyle w:val="Listenabsatz"/>
        <w:tabs>
          <w:tab w:val="left" w:pos="993"/>
        </w:tabs>
        <w:ind w:left="426" w:right="125" w:hanging="426"/>
        <w:rPr>
          <w:rFonts w:cs="Tahoma"/>
          <w:lang w:val="de-DE"/>
        </w:rPr>
      </w:pPr>
      <w:r w:rsidRPr="00A862B1">
        <w:rPr>
          <w:rFonts w:cs="Tahoma"/>
          <w:lang w:val="de-DE"/>
        </w:rPr>
        <w:t>1.</w:t>
      </w:r>
      <w:r w:rsidRPr="00A862B1">
        <w:rPr>
          <w:rFonts w:cs="Tahoma"/>
          <w:lang w:val="de-DE"/>
        </w:rPr>
        <w:tab/>
        <w:t>Zustimmung zur Leistung überplanmäßiger und außerplanmäßiger Aufwendungen oder Auszahlungen bis zu einem Betrag von 15.000,-- €.</w:t>
      </w:r>
    </w:p>
    <w:p w14:paraId="01E5EDEC" w14:textId="77777777" w:rsidR="00A862B1" w:rsidRPr="00A862B1" w:rsidRDefault="00A862B1" w:rsidP="00A862B1">
      <w:pPr>
        <w:pStyle w:val="Listenabsatz"/>
        <w:tabs>
          <w:tab w:val="left" w:pos="993"/>
        </w:tabs>
        <w:ind w:left="426" w:right="125" w:hanging="426"/>
        <w:rPr>
          <w:rFonts w:cs="Tahoma"/>
          <w:lang w:val="de-DE"/>
        </w:rPr>
      </w:pPr>
      <w:r w:rsidRPr="00A862B1">
        <w:rPr>
          <w:rFonts w:cs="Tahoma"/>
          <w:lang w:val="de-DE"/>
        </w:rPr>
        <w:t>2.</w:t>
      </w:r>
      <w:r w:rsidRPr="00A862B1">
        <w:rPr>
          <w:rFonts w:cs="Tahoma"/>
          <w:lang w:val="de-DE"/>
        </w:rPr>
        <w:tab/>
        <w:t>Vergabe von Aufträgen und Arbeiten, soweit die Entscheidung hierüber nicht dem Stadtbürgermeister oder einem sonstigen Ausschuss übertragen ist.</w:t>
      </w:r>
    </w:p>
    <w:p w14:paraId="6CE5171A" w14:textId="77777777" w:rsidR="00A862B1" w:rsidRPr="00A862B1" w:rsidRDefault="00A862B1" w:rsidP="00A862B1">
      <w:pPr>
        <w:pStyle w:val="Listenabsatz"/>
        <w:tabs>
          <w:tab w:val="left" w:pos="993"/>
        </w:tabs>
        <w:ind w:left="426" w:right="125" w:hanging="426"/>
        <w:rPr>
          <w:rFonts w:cs="Tahoma"/>
          <w:lang w:val="de-DE"/>
        </w:rPr>
      </w:pPr>
      <w:r w:rsidRPr="00A862B1">
        <w:rPr>
          <w:rFonts w:cs="Tahoma"/>
          <w:lang w:val="de-DE"/>
        </w:rPr>
        <w:t>3.</w:t>
      </w:r>
      <w:r w:rsidRPr="00A862B1">
        <w:rPr>
          <w:rFonts w:cs="Tahoma"/>
          <w:lang w:val="de-DE"/>
        </w:rPr>
        <w:tab/>
        <w:t xml:space="preserve">Einleitung und Fortführung von Gerichtsverfahren sowie der Abschluss von Vergleichen, soweit die Entscheidung hierüber nicht dem Stadtbürgermeister übertragen ist. </w:t>
      </w:r>
    </w:p>
    <w:p w14:paraId="2BB42C45" w14:textId="77777777" w:rsidR="00A862B1" w:rsidRPr="00A862B1" w:rsidRDefault="00A862B1" w:rsidP="00A862B1">
      <w:pPr>
        <w:pStyle w:val="Listenabsatz"/>
        <w:tabs>
          <w:tab w:val="left" w:pos="993"/>
        </w:tabs>
        <w:ind w:left="426" w:right="125" w:hanging="426"/>
        <w:rPr>
          <w:rFonts w:cs="Tahoma"/>
          <w:lang w:val="de-DE"/>
        </w:rPr>
      </w:pPr>
      <w:r w:rsidRPr="00A862B1">
        <w:rPr>
          <w:rFonts w:cs="Tahoma"/>
          <w:lang w:val="de-DE"/>
        </w:rPr>
        <w:t>4.</w:t>
      </w:r>
      <w:r w:rsidRPr="00A862B1">
        <w:rPr>
          <w:rFonts w:cs="Tahoma"/>
          <w:lang w:val="de-DE"/>
        </w:rPr>
        <w:tab/>
        <w:t>Die Entscheidung über die Vermittlung von Sponsoringleistungen, Spenden, Schenkungen und ähnlichen Zuwendungen gem. § 94 Abs. 3 Satz 5 GemO oh-ne Wertgrenzenbeschränkung. Die Annahme von Sponsoringleistungen, Spenden, Schenkungen und ähnlichen Zuwendungen gem. § 94 Abs. 3 Satz 5 GemO ohne Wertgrenzenbeschränkung.</w:t>
      </w:r>
    </w:p>
    <w:p w14:paraId="3A132C28" w14:textId="77777777" w:rsidR="00A862B1" w:rsidRPr="00A862B1" w:rsidRDefault="00A862B1" w:rsidP="00A862B1">
      <w:pPr>
        <w:pStyle w:val="Listenabsatz"/>
        <w:ind w:left="426" w:right="125" w:hanging="426"/>
        <w:rPr>
          <w:rFonts w:cs="Tahoma"/>
          <w:lang w:val="de-DE"/>
        </w:rPr>
      </w:pPr>
    </w:p>
    <w:p w14:paraId="0C91D340" w14:textId="77777777" w:rsidR="00A862B1" w:rsidRPr="00A862B1" w:rsidRDefault="00A862B1" w:rsidP="00A862B1">
      <w:pPr>
        <w:pStyle w:val="Listenabsatz"/>
        <w:ind w:left="0" w:right="125"/>
        <w:rPr>
          <w:rFonts w:cs="Tahoma"/>
          <w:lang w:val="de-DE"/>
        </w:rPr>
      </w:pPr>
      <w:r w:rsidRPr="00A862B1">
        <w:rPr>
          <w:rFonts w:cs="Tahoma"/>
          <w:lang w:val="de-DE"/>
        </w:rPr>
        <w:t>Der Haupt- und Finanzausschuss nimmt außerdem die Aufgaben der obersten Dienstbehörde i. S. von § 89 Abs. 1 Satz 1 Nr. 1 LPersVG wahr.</w:t>
      </w:r>
    </w:p>
    <w:p w14:paraId="5161F41F" w14:textId="77777777" w:rsidR="00A862B1" w:rsidRPr="00A862B1" w:rsidRDefault="00A862B1" w:rsidP="00A862B1">
      <w:pPr>
        <w:pStyle w:val="Listenabsatz"/>
        <w:ind w:left="0" w:right="125"/>
        <w:rPr>
          <w:rFonts w:cs="Tahoma"/>
          <w:lang w:val="de-DE"/>
        </w:rPr>
      </w:pPr>
    </w:p>
    <w:p w14:paraId="35DF3A1B" w14:textId="77777777" w:rsidR="00A862B1" w:rsidRPr="00A862B1" w:rsidRDefault="00A862B1" w:rsidP="00A862B1">
      <w:pPr>
        <w:pStyle w:val="Listenabsatz"/>
        <w:ind w:left="0" w:right="125"/>
        <w:rPr>
          <w:rFonts w:cs="Tahoma"/>
          <w:lang w:val="de-DE"/>
        </w:rPr>
      </w:pPr>
      <w:r w:rsidRPr="00A862B1">
        <w:rPr>
          <w:rFonts w:cs="Tahoma"/>
          <w:lang w:val="de-DE"/>
        </w:rPr>
        <w:t>(3) Soweit einem Ausschuss die Beschlussfassung über Angelegenheiten nicht übertragen ist, hat der Ausschuss innerhalb seines Zuständigkeitsbereichs die Be-schlüsse des Stadtrates vor zu beraten.</w:t>
      </w:r>
    </w:p>
    <w:p w14:paraId="4FC4E66A" w14:textId="77777777" w:rsidR="00A862B1" w:rsidRPr="00A862B1" w:rsidRDefault="00A862B1" w:rsidP="00A862B1">
      <w:pPr>
        <w:pStyle w:val="Listenabsatz"/>
        <w:ind w:left="0" w:right="125"/>
        <w:rPr>
          <w:rFonts w:cs="Tahoma"/>
          <w:lang w:val="de-DE"/>
        </w:rPr>
      </w:pPr>
      <w:r w:rsidRPr="00A862B1">
        <w:rPr>
          <w:rFonts w:cs="Tahoma"/>
          <w:lang w:val="de-DE"/>
        </w:rPr>
        <w:t xml:space="preserve"> </w:t>
      </w:r>
    </w:p>
    <w:p w14:paraId="4FC84AB9" w14:textId="77777777" w:rsidR="00A862B1" w:rsidRPr="00A862B1" w:rsidRDefault="00A862B1" w:rsidP="00A862B1">
      <w:pPr>
        <w:pStyle w:val="Listenabsatz"/>
        <w:ind w:left="0" w:right="125"/>
        <w:rPr>
          <w:rFonts w:cs="Tahoma"/>
          <w:lang w:val="de-DE"/>
        </w:rPr>
      </w:pPr>
      <w:r w:rsidRPr="00A862B1">
        <w:rPr>
          <w:rFonts w:cs="Tahoma"/>
          <w:lang w:val="de-DE"/>
        </w:rPr>
        <w:t>Berührt eine Angelegenheit den Zuständigkeitsbereich mehrerer Ausschüsse, so obliegt dem Haupt- und Finanzausschuss die Federführung. Dem Haupt- und Finanzausschuss obliegt auch die Vorbereitung der Beschlüsse des Stadtrates über</w:t>
      </w:r>
    </w:p>
    <w:p w14:paraId="51E7695B" w14:textId="77777777" w:rsidR="00A862B1" w:rsidRPr="00A862B1" w:rsidRDefault="00A862B1" w:rsidP="00A862B1">
      <w:pPr>
        <w:pStyle w:val="Listenabsatz"/>
        <w:ind w:left="0" w:right="125"/>
        <w:rPr>
          <w:rFonts w:cs="Tahoma"/>
          <w:lang w:val="de-DE"/>
        </w:rPr>
      </w:pPr>
    </w:p>
    <w:p w14:paraId="35C1B335" w14:textId="77777777" w:rsidR="00A862B1" w:rsidRPr="00A862B1" w:rsidRDefault="00A862B1" w:rsidP="00A862B1">
      <w:pPr>
        <w:pStyle w:val="Listenabsatz"/>
        <w:tabs>
          <w:tab w:val="left" w:pos="993"/>
        </w:tabs>
        <w:ind w:left="426" w:right="125" w:hanging="426"/>
        <w:rPr>
          <w:rFonts w:cs="Tahoma"/>
          <w:lang w:val="de-DE"/>
        </w:rPr>
      </w:pPr>
      <w:r w:rsidRPr="00A862B1">
        <w:rPr>
          <w:rFonts w:cs="Tahoma"/>
          <w:lang w:val="de-DE"/>
        </w:rPr>
        <w:t>1.</w:t>
      </w:r>
      <w:r w:rsidRPr="00A862B1">
        <w:rPr>
          <w:rFonts w:cs="Tahoma"/>
          <w:lang w:val="de-DE"/>
        </w:rPr>
        <w:tab/>
        <w:t>den Haushaltsplan,</w:t>
      </w:r>
    </w:p>
    <w:p w14:paraId="6304C85A" w14:textId="77777777" w:rsidR="00A862B1" w:rsidRPr="00A862B1" w:rsidRDefault="00A862B1" w:rsidP="00A862B1">
      <w:pPr>
        <w:pStyle w:val="Listenabsatz"/>
        <w:tabs>
          <w:tab w:val="left" w:pos="993"/>
        </w:tabs>
        <w:ind w:left="426" w:right="125" w:hanging="426"/>
        <w:rPr>
          <w:rFonts w:cs="Tahoma"/>
          <w:lang w:val="de-DE"/>
        </w:rPr>
      </w:pPr>
      <w:r w:rsidRPr="00A862B1">
        <w:rPr>
          <w:rFonts w:cs="Tahoma"/>
          <w:lang w:val="de-DE"/>
        </w:rPr>
        <w:t>2.</w:t>
      </w:r>
      <w:r w:rsidRPr="00A862B1">
        <w:rPr>
          <w:rFonts w:cs="Tahoma"/>
          <w:lang w:val="de-DE"/>
        </w:rPr>
        <w:tab/>
        <w:t>die Satzungen,</w:t>
      </w:r>
    </w:p>
    <w:p w14:paraId="49870534" w14:textId="77777777" w:rsidR="00A862B1" w:rsidRPr="00A862B1" w:rsidRDefault="00A862B1" w:rsidP="00A862B1">
      <w:pPr>
        <w:pStyle w:val="Listenabsatz"/>
        <w:tabs>
          <w:tab w:val="left" w:pos="993"/>
        </w:tabs>
        <w:ind w:left="426" w:right="125" w:hanging="426"/>
        <w:rPr>
          <w:rFonts w:cs="Tahoma"/>
          <w:lang w:val="de-DE"/>
        </w:rPr>
      </w:pPr>
      <w:r w:rsidRPr="00A862B1">
        <w:rPr>
          <w:rFonts w:cs="Tahoma"/>
          <w:lang w:val="de-DE"/>
        </w:rPr>
        <w:t>3.</w:t>
      </w:r>
      <w:r w:rsidRPr="00A862B1">
        <w:rPr>
          <w:rFonts w:cs="Tahoma"/>
          <w:lang w:val="de-DE"/>
        </w:rPr>
        <w:tab/>
        <w:t xml:space="preserve">die Zustimmung zu Personalentscheidungen des Stadtbürgermeisters gem. </w:t>
      </w:r>
    </w:p>
    <w:p w14:paraId="5BDF73EE" w14:textId="77777777" w:rsidR="00A862B1" w:rsidRPr="00A862B1" w:rsidRDefault="00A862B1" w:rsidP="00A862B1">
      <w:pPr>
        <w:pStyle w:val="Listenabsatz"/>
        <w:tabs>
          <w:tab w:val="left" w:pos="993"/>
        </w:tabs>
        <w:ind w:left="426" w:right="125" w:hanging="426"/>
        <w:rPr>
          <w:rFonts w:cs="Tahoma"/>
          <w:lang w:val="de-DE"/>
        </w:rPr>
      </w:pPr>
      <w:r w:rsidRPr="00A862B1">
        <w:rPr>
          <w:rFonts w:cs="Tahoma"/>
          <w:lang w:val="de-DE"/>
        </w:rPr>
        <w:tab/>
        <w:t>§ 47 Abs. 2 GemO,</w:t>
      </w:r>
    </w:p>
    <w:p w14:paraId="266F5BB6" w14:textId="77777777" w:rsidR="00A862B1" w:rsidRPr="00A862B1" w:rsidRDefault="00A862B1" w:rsidP="00A862B1">
      <w:pPr>
        <w:pStyle w:val="Listenabsatz"/>
        <w:tabs>
          <w:tab w:val="left" w:pos="993"/>
        </w:tabs>
        <w:ind w:left="426" w:right="125" w:hanging="426"/>
        <w:rPr>
          <w:rFonts w:cs="Tahoma"/>
          <w:lang w:val="de-DE"/>
        </w:rPr>
      </w:pPr>
      <w:r w:rsidRPr="00A862B1">
        <w:rPr>
          <w:rFonts w:cs="Tahoma"/>
          <w:lang w:val="de-DE"/>
        </w:rPr>
        <w:t>4.</w:t>
      </w:r>
      <w:r w:rsidRPr="00A862B1">
        <w:rPr>
          <w:rFonts w:cs="Tahoma"/>
          <w:lang w:val="de-DE"/>
        </w:rPr>
        <w:tab/>
        <w:t>die Finanzplanung.</w:t>
      </w:r>
    </w:p>
    <w:p w14:paraId="191E1E53" w14:textId="77777777" w:rsidR="00A862B1" w:rsidRPr="00A862B1" w:rsidRDefault="00A862B1" w:rsidP="00A862B1">
      <w:pPr>
        <w:pStyle w:val="Listenabsatz"/>
        <w:ind w:left="426" w:right="125" w:hanging="426"/>
        <w:rPr>
          <w:rFonts w:cs="Tahoma"/>
          <w:lang w:val="de-DE"/>
        </w:rPr>
      </w:pPr>
    </w:p>
    <w:p w14:paraId="337E1B63" w14:textId="77777777" w:rsidR="00A862B1" w:rsidRPr="00A862B1" w:rsidRDefault="00A862B1" w:rsidP="00A862B1">
      <w:pPr>
        <w:pStyle w:val="Listenabsatz"/>
        <w:ind w:left="426" w:right="125" w:hanging="426"/>
        <w:rPr>
          <w:rFonts w:cs="Tahoma"/>
          <w:lang w:val="de-DE"/>
        </w:rPr>
      </w:pPr>
      <w:r w:rsidRPr="00A862B1">
        <w:rPr>
          <w:rFonts w:cs="Tahoma"/>
          <w:lang w:val="de-DE"/>
        </w:rPr>
        <w:t>Dem Ausschuss für Raumordnung, Städtebau, Umwelt- und Friedhofsfragen obliegt die Vorbereitung der Beschlüsse des Stadtrates über</w:t>
      </w:r>
    </w:p>
    <w:p w14:paraId="07ED7883" w14:textId="77777777" w:rsidR="00A862B1" w:rsidRPr="00A862B1" w:rsidRDefault="00A862B1" w:rsidP="00A862B1">
      <w:pPr>
        <w:pStyle w:val="Listenabsatz"/>
        <w:ind w:left="426" w:right="125" w:hanging="426"/>
        <w:rPr>
          <w:rFonts w:cs="Tahoma"/>
          <w:lang w:val="de-DE"/>
        </w:rPr>
      </w:pPr>
    </w:p>
    <w:p w14:paraId="3C35015F" w14:textId="77777777" w:rsidR="00A862B1" w:rsidRPr="00A862B1" w:rsidRDefault="00A862B1" w:rsidP="00A862B1">
      <w:pPr>
        <w:pStyle w:val="Listenabsatz"/>
        <w:numPr>
          <w:ilvl w:val="0"/>
          <w:numId w:val="4"/>
        </w:numPr>
        <w:tabs>
          <w:tab w:val="left" w:pos="993"/>
        </w:tabs>
        <w:ind w:left="426" w:right="125" w:hanging="426"/>
        <w:rPr>
          <w:rFonts w:cs="Tahoma"/>
          <w:lang w:val="de-DE"/>
        </w:rPr>
      </w:pPr>
      <w:r w:rsidRPr="00A862B1">
        <w:rPr>
          <w:rFonts w:cs="Tahoma"/>
          <w:lang w:val="de-DE"/>
        </w:rPr>
        <w:t>die Bauleit- und Landschaftsplanung,</w:t>
      </w:r>
    </w:p>
    <w:p w14:paraId="588273CD" w14:textId="77777777" w:rsidR="00A862B1" w:rsidRPr="00A862B1" w:rsidRDefault="00A862B1" w:rsidP="00A862B1">
      <w:pPr>
        <w:pStyle w:val="Listenabsatz"/>
        <w:numPr>
          <w:ilvl w:val="0"/>
          <w:numId w:val="4"/>
        </w:numPr>
        <w:tabs>
          <w:tab w:val="left" w:pos="993"/>
        </w:tabs>
        <w:ind w:left="426" w:right="125" w:hanging="426"/>
        <w:rPr>
          <w:rFonts w:cs="Tahoma"/>
          <w:lang w:val="de-DE"/>
        </w:rPr>
      </w:pPr>
      <w:r w:rsidRPr="00A862B1">
        <w:rPr>
          <w:rFonts w:cs="Tahoma"/>
          <w:lang w:val="de-DE"/>
        </w:rPr>
        <w:t>Entwicklungsvorhaben.</w:t>
      </w:r>
    </w:p>
    <w:p w14:paraId="1FA15498" w14:textId="77777777" w:rsidR="00A862B1" w:rsidRDefault="00A862B1" w:rsidP="00A862B1">
      <w:pPr>
        <w:jc w:val="both"/>
        <w:rPr>
          <w:rFonts w:ascii="Century Gothic" w:hAnsi="Century Gothic"/>
          <w:sz w:val="22"/>
        </w:rPr>
      </w:pPr>
    </w:p>
    <w:p w14:paraId="0B370BE3" w14:textId="77777777" w:rsidR="00BC3FAC" w:rsidRDefault="00BC3FAC">
      <w:pPr>
        <w:jc w:val="both"/>
        <w:rPr>
          <w:rFonts w:ascii="Century Gothic" w:hAnsi="Century Gothic"/>
          <w:sz w:val="22"/>
        </w:rPr>
      </w:pPr>
    </w:p>
    <w:p w14:paraId="59CFAD93" w14:textId="77777777" w:rsidR="00BC3FAC" w:rsidRDefault="00BC3FAC">
      <w:pPr>
        <w:jc w:val="both"/>
        <w:rPr>
          <w:rFonts w:ascii="Century Gothic" w:hAnsi="Century Gothic"/>
          <w:sz w:val="22"/>
        </w:rPr>
      </w:pPr>
    </w:p>
    <w:p w14:paraId="0F42BD64" w14:textId="77777777" w:rsidR="00BC3FAC" w:rsidRDefault="00BC3FAC">
      <w:pPr>
        <w:jc w:val="both"/>
        <w:rPr>
          <w:rFonts w:ascii="Century Gothic" w:hAnsi="Century Gothic"/>
          <w:sz w:val="22"/>
        </w:rPr>
      </w:pPr>
    </w:p>
    <w:p w14:paraId="0E6868C4"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t>§ 4</w:t>
      </w:r>
    </w:p>
    <w:p w14:paraId="5687ECF6" w14:textId="77777777" w:rsidR="00BC3FAC" w:rsidRDefault="00BC3FAC">
      <w:pPr>
        <w:pStyle w:val="berschrift3"/>
      </w:pPr>
      <w:r>
        <w:t>Übertragung von Aufgaben des Stadtrates</w:t>
      </w:r>
    </w:p>
    <w:p w14:paraId="379A7754"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t>auf den Stadtbürgermeister</w:t>
      </w:r>
    </w:p>
    <w:p w14:paraId="3BE0A2D0" w14:textId="77777777" w:rsidR="00BC3FAC" w:rsidRDefault="00BC3FAC">
      <w:pPr>
        <w:jc w:val="both"/>
        <w:rPr>
          <w:rFonts w:ascii="Century Gothic" w:hAnsi="Century Gothic"/>
          <w:b/>
          <w:sz w:val="22"/>
        </w:rPr>
      </w:pPr>
    </w:p>
    <w:p w14:paraId="33D2E27A" w14:textId="77777777" w:rsidR="00BC3FAC" w:rsidRDefault="00BC3FAC">
      <w:pPr>
        <w:jc w:val="both"/>
        <w:rPr>
          <w:rFonts w:ascii="Century Gothic" w:hAnsi="Century Gothic"/>
          <w:sz w:val="22"/>
        </w:rPr>
      </w:pPr>
      <w:r>
        <w:rPr>
          <w:rFonts w:ascii="Century Gothic" w:hAnsi="Century Gothic"/>
          <w:sz w:val="22"/>
        </w:rPr>
        <w:t>Auf den Stadtbürgermeister wird die Entscheidung in folgenden Angelegenheiten übertragen:</w:t>
      </w:r>
    </w:p>
    <w:p w14:paraId="3C471ECA" w14:textId="77777777" w:rsidR="00BC3FAC" w:rsidRDefault="00BC3FAC">
      <w:pPr>
        <w:jc w:val="both"/>
        <w:rPr>
          <w:rFonts w:ascii="Century Gothic" w:hAnsi="Century Gothic"/>
          <w:sz w:val="22"/>
        </w:rPr>
      </w:pPr>
    </w:p>
    <w:p w14:paraId="0F74F544" w14:textId="77777777" w:rsidR="00BC3FAC" w:rsidRDefault="00BC3FAC" w:rsidP="00CA46D8">
      <w:pPr>
        <w:tabs>
          <w:tab w:val="left" w:pos="284"/>
        </w:tabs>
        <w:ind w:left="284" w:hanging="284"/>
        <w:jc w:val="both"/>
        <w:rPr>
          <w:rFonts w:ascii="Century Gothic" w:hAnsi="Century Gothic"/>
          <w:sz w:val="22"/>
        </w:rPr>
      </w:pPr>
      <w:r>
        <w:rPr>
          <w:rFonts w:ascii="Century Gothic" w:hAnsi="Century Gothic"/>
          <w:sz w:val="22"/>
        </w:rPr>
        <w:t>1.</w:t>
      </w:r>
      <w:r w:rsidR="00CA46D8">
        <w:rPr>
          <w:rFonts w:ascii="Century Gothic" w:hAnsi="Century Gothic"/>
          <w:sz w:val="22"/>
        </w:rPr>
        <w:tab/>
      </w:r>
      <w:r>
        <w:rPr>
          <w:rFonts w:ascii="Century Gothic" w:hAnsi="Century Gothic"/>
          <w:sz w:val="22"/>
        </w:rPr>
        <w:t xml:space="preserve">Vergabe von Aufträgen und Arbeiten im Rahmen der verfügbaren Haushaltsmittel bis zu einer Wertgrenze von </w:t>
      </w:r>
      <w:r w:rsidR="009F252C">
        <w:rPr>
          <w:rFonts w:ascii="Century Gothic" w:hAnsi="Century Gothic"/>
          <w:sz w:val="22"/>
        </w:rPr>
        <w:t>10</w:t>
      </w:r>
      <w:r>
        <w:rPr>
          <w:rFonts w:ascii="Century Gothic" w:hAnsi="Century Gothic"/>
          <w:sz w:val="22"/>
        </w:rPr>
        <w:t>.</w:t>
      </w:r>
      <w:r w:rsidR="009F252C">
        <w:rPr>
          <w:rFonts w:ascii="Century Gothic" w:hAnsi="Century Gothic"/>
          <w:sz w:val="22"/>
        </w:rPr>
        <w:t>0</w:t>
      </w:r>
      <w:r>
        <w:rPr>
          <w:rFonts w:ascii="Century Gothic" w:hAnsi="Century Gothic"/>
          <w:sz w:val="22"/>
        </w:rPr>
        <w:t>00,-- € im Einzelfall.</w:t>
      </w:r>
    </w:p>
    <w:p w14:paraId="14F1E8EE" w14:textId="77777777" w:rsidR="00BC3FAC" w:rsidRDefault="00BC3FAC" w:rsidP="00CA46D8">
      <w:pPr>
        <w:tabs>
          <w:tab w:val="left" w:pos="284"/>
        </w:tabs>
        <w:ind w:left="284" w:hanging="284"/>
        <w:jc w:val="both"/>
        <w:rPr>
          <w:rFonts w:ascii="Century Gothic" w:hAnsi="Century Gothic"/>
          <w:sz w:val="22"/>
        </w:rPr>
      </w:pPr>
      <w:r>
        <w:rPr>
          <w:rFonts w:ascii="Century Gothic" w:hAnsi="Century Gothic"/>
          <w:sz w:val="22"/>
        </w:rPr>
        <w:t>2.</w:t>
      </w:r>
      <w:r>
        <w:rPr>
          <w:rFonts w:ascii="Century Gothic" w:hAnsi="Century Gothic"/>
          <w:sz w:val="22"/>
        </w:rPr>
        <w:tab/>
        <w:t>Zeitpunkt und Höhe der Aufnahme von Krediten nach Maßgabe der</w:t>
      </w:r>
      <w:r w:rsidR="00CA46D8">
        <w:rPr>
          <w:rFonts w:ascii="Century Gothic" w:hAnsi="Century Gothic"/>
          <w:sz w:val="22"/>
        </w:rPr>
        <w:t xml:space="preserve"> </w:t>
      </w:r>
      <w:r>
        <w:rPr>
          <w:rFonts w:ascii="Century Gothic" w:hAnsi="Century Gothic"/>
          <w:sz w:val="22"/>
        </w:rPr>
        <w:tab/>
        <w:t>Haushaltssatzung.</w:t>
      </w:r>
    </w:p>
    <w:p w14:paraId="1F81A0EB" w14:textId="77777777" w:rsidR="00BC3FAC" w:rsidRDefault="00BC3FAC" w:rsidP="00CA46D8">
      <w:pPr>
        <w:tabs>
          <w:tab w:val="left" w:pos="284"/>
        </w:tabs>
        <w:ind w:left="284" w:hanging="284"/>
        <w:jc w:val="both"/>
        <w:rPr>
          <w:rFonts w:ascii="Century Gothic" w:hAnsi="Century Gothic"/>
          <w:sz w:val="22"/>
        </w:rPr>
      </w:pPr>
      <w:r>
        <w:rPr>
          <w:rFonts w:ascii="Century Gothic" w:hAnsi="Century Gothic"/>
          <w:sz w:val="22"/>
        </w:rPr>
        <w:t>3.</w:t>
      </w:r>
      <w:r w:rsidR="00CA46D8">
        <w:rPr>
          <w:rFonts w:ascii="Century Gothic" w:hAnsi="Century Gothic"/>
          <w:sz w:val="22"/>
        </w:rPr>
        <w:tab/>
      </w:r>
      <w:r>
        <w:rPr>
          <w:rFonts w:ascii="Century Gothic" w:hAnsi="Century Gothic"/>
          <w:sz w:val="22"/>
        </w:rPr>
        <w:t>Gewährung von Zuwendungen im Rahmen der verfügbaren Haushaltsmittel</w:t>
      </w:r>
      <w:r w:rsidR="00CA46D8">
        <w:rPr>
          <w:rFonts w:ascii="Century Gothic" w:hAnsi="Century Gothic"/>
          <w:sz w:val="22"/>
        </w:rPr>
        <w:t xml:space="preserve"> </w:t>
      </w:r>
      <w:r>
        <w:rPr>
          <w:rFonts w:ascii="Century Gothic" w:hAnsi="Century Gothic"/>
          <w:sz w:val="22"/>
        </w:rPr>
        <w:t>nach Maßgabe allgemeiner Grundsätze und Richtlinien des Stadtrates.</w:t>
      </w:r>
    </w:p>
    <w:p w14:paraId="4B072286" w14:textId="77777777" w:rsidR="00BC3FAC" w:rsidRDefault="00BC3FAC" w:rsidP="00CA46D8">
      <w:pPr>
        <w:tabs>
          <w:tab w:val="left" w:pos="284"/>
        </w:tabs>
        <w:ind w:left="284" w:hanging="284"/>
        <w:jc w:val="both"/>
        <w:rPr>
          <w:rFonts w:ascii="Century Gothic" w:hAnsi="Century Gothic"/>
          <w:sz w:val="22"/>
        </w:rPr>
      </w:pPr>
      <w:r>
        <w:rPr>
          <w:rFonts w:ascii="Century Gothic" w:hAnsi="Century Gothic"/>
          <w:sz w:val="22"/>
        </w:rPr>
        <w:t>4.</w:t>
      </w:r>
      <w:r w:rsidR="00CA46D8">
        <w:rPr>
          <w:rFonts w:ascii="Century Gothic" w:hAnsi="Century Gothic"/>
          <w:sz w:val="22"/>
        </w:rPr>
        <w:tab/>
      </w:r>
      <w:r w:rsidR="00A862B1" w:rsidRPr="00A862B1">
        <w:rPr>
          <w:rFonts w:ascii="Century Gothic" w:hAnsi="Century Gothic"/>
          <w:sz w:val="22"/>
        </w:rPr>
        <w:t>Unbefristete Niederschlagung oder Erlass einer gemeindlichen Forderung bis zu einem Betrag von 750,00 € im Einzelfall.</w:t>
      </w:r>
    </w:p>
    <w:p w14:paraId="6BC44FA2" w14:textId="77777777" w:rsidR="00BC3FAC" w:rsidRDefault="00BC3FAC" w:rsidP="00CA46D8">
      <w:pPr>
        <w:ind w:left="284" w:hanging="284"/>
        <w:jc w:val="both"/>
        <w:rPr>
          <w:rFonts w:ascii="Century Gothic" w:hAnsi="Century Gothic"/>
          <w:sz w:val="22"/>
        </w:rPr>
      </w:pPr>
      <w:r>
        <w:rPr>
          <w:rFonts w:ascii="Century Gothic" w:hAnsi="Century Gothic"/>
          <w:sz w:val="22"/>
        </w:rPr>
        <w:t>5.</w:t>
      </w:r>
      <w:r w:rsidR="00CA46D8">
        <w:rPr>
          <w:rFonts w:ascii="Century Gothic" w:hAnsi="Century Gothic"/>
          <w:sz w:val="22"/>
        </w:rPr>
        <w:tab/>
      </w:r>
      <w:r>
        <w:rPr>
          <w:rFonts w:ascii="Century Gothic" w:hAnsi="Century Gothic"/>
          <w:sz w:val="22"/>
        </w:rPr>
        <w:t xml:space="preserve">Erteilung der Zustimmung wenn in den Fällen des § 20 Abs. 1 GastVO die </w:t>
      </w:r>
      <w:r>
        <w:rPr>
          <w:rFonts w:ascii="Century Gothic" w:hAnsi="Century Gothic"/>
          <w:sz w:val="22"/>
          <w:szCs w:val="19"/>
        </w:rPr>
        <w:t>Sperrzeit für einzelne Betriebe festgelegt, verlängert, verkürzt oder aufgehoben werden soll.</w:t>
      </w:r>
    </w:p>
    <w:p w14:paraId="652FFBB3" w14:textId="77777777" w:rsidR="00BC3FAC" w:rsidRDefault="00CA46D8" w:rsidP="00CA46D8">
      <w:pPr>
        <w:ind w:left="284" w:hanging="284"/>
        <w:jc w:val="both"/>
        <w:rPr>
          <w:rFonts w:ascii="Century Gothic" w:hAnsi="Century Gothic"/>
          <w:sz w:val="22"/>
        </w:rPr>
      </w:pPr>
      <w:r>
        <w:rPr>
          <w:rFonts w:ascii="Century Gothic" w:hAnsi="Century Gothic"/>
          <w:sz w:val="22"/>
        </w:rPr>
        <w:t>6.</w:t>
      </w:r>
      <w:r>
        <w:rPr>
          <w:rFonts w:ascii="Century Gothic" w:hAnsi="Century Gothic"/>
          <w:sz w:val="22"/>
        </w:rPr>
        <w:tab/>
      </w:r>
      <w:r w:rsidR="00BC3FAC">
        <w:rPr>
          <w:rFonts w:ascii="Century Gothic" w:hAnsi="Century Gothic"/>
          <w:sz w:val="22"/>
        </w:rPr>
        <w:t>Entscheidung über die Einlegung von Rechtsbehelfen und Rechtsmitteln zur Fristwahrung.</w:t>
      </w:r>
    </w:p>
    <w:p w14:paraId="7CD7F9FC" w14:textId="77777777" w:rsidR="00BC3FAC" w:rsidRDefault="00CA46D8" w:rsidP="00CA46D8">
      <w:pPr>
        <w:pStyle w:val="Textkrper-Zeileneinzug"/>
        <w:ind w:left="284" w:hanging="284"/>
      </w:pPr>
      <w:r>
        <w:t>7.</w:t>
      </w:r>
      <w:r>
        <w:tab/>
      </w:r>
      <w:r w:rsidR="00BC3FAC">
        <w:t>Vergabe von Standplätzen auf Messen, Volksfesten, Märkten und ähnlichen Veranstaltungen im Sinne des § 14 Abs. 2 GemO.</w:t>
      </w:r>
    </w:p>
    <w:p w14:paraId="049E3156" w14:textId="77777777" w:rsidR="009F252C" w:rsidRDefault="009F252C" w:rsidP="00CA46D8">
      <w:pPr>
        <w:pStyle w:val="Textkrper-Zeileneinzug"/>
        <w:ind w:left="284" w:hanging="284"/>
      </w:pPr>
      <w:r>
        <w:t>8.</w:t>
      </w:r>
      <w:r>
        <w:tab/>
      </w:r>
      <w:r w:rsidRPr="009F252C">
        <w:t>Zustimmung zur Leistung überplanmäßiger und außerplanmäßiger Auf-wendungen oder Auszahlungen bis zu einem Betrag von 5.000 €.</w:t>
      </w:r>
    </w:p>
    <w:p w14:paraId="43D75C3A" w14:textId="77777777" w:rsidR="00BC3FAC" w:rsidRDefault="00BC3FAC">
      <w:pPr>
        <w:jc w:val="both"/>
        <w:rPr>
          <w:rFonts w:ascii="Century Gothic" w:hAnsi="Century Gothic"/>
          <w:sz w:val="22"/>
        </w:rPr>
      </w:pPr>
    </w:p>
    <w:p w14:paraId="37F9E873" w14:textId="77777777" w:rsidR="00BC3FAC" w:rsidRDefault="00BC3FAC">
      <w:pPr>
        <w:jc w:val="both"/>
        <w:rPr>
          <w:rFonts w:ascii="Century Gothic" w:hAnsi="Century Gothic"/>
          <w:sz w:val="22"/>
        </w:rPr>
      </w:pPr>
      <w:r>
        <w:rPr>
          <w:rFonts w:ascii="Century Gothic" w:hAnsi="Century Gothic"/>
          <w:sz w:val="22"/>
        </w:rPr>
        <w:t>Die Zuständigkeit des Stadtbürgermeisters für die laufende Verwaltung gemäß § 47 Abs. 1 Satz 2 Nr. 3 GemO bleibt von der vorstehenden Aufgabenübertragung unberührt.</w:t>
      </w:r>
    </w:p>
    <w:p w14:paraId="09575348" w14:textId="77777777" w:rsidR="00BC3FAC" w:rsidRDefault="00BC3FAC">
      <w:pPr>
        <w:jc w:val="both"/>
        <w:rPr>
          <w:rFonts w:ascii="Century Gothic" w:hAnsi="Century Gothic"/>
          <w:sz w:val="22"/>
        </w:rPr>
      </w:pPr>
    </w:p>
    <w:p w14:paraId="762299EA" w14:textId="77777777" w:rsidR="00BC3FAC" w:rsidRDefault="00BC3FAC">
      <w:pPr>
        <w:jc w:val="both"/>
        <w:rPr>
          <w:rFonts w:ascii="Century Gothic" w:hAnsi="Century Gothic"/>
          <w:sz w:val="22"/>
        </w:rPr>
      </w:pPr>
    </w:p>
    <w:p w14:paraId="28779F05"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t>§ 5</w:t>
      </w:r>
    </w:p>
    <w:p w14:paraId="101C43C8" w14:textId="77777777" w:rsidR="00BC3FAC" w:rsidRDefault="00BC3FAC">
      <w:pPr>
        <w:pStyle w:val="berschrift3"/>
      </w:pPr>
      <w:r>
        <w:t>Beigeordnete</w:t>
      </w:r>
    </w:p>
    <w:p w14:paraId="276115A4" w14:textId="77777777" w:rsidR="00BC3FAC" w:rsidRDefault="00BC3FAC">
      <w:pPr>
        <w:jc w:val="both"/>
        <w:rPr>
          <w:rFonts w:ascii="Century Gothic" w:hAnsi="Century Gothic"/>
          <w:b/>
          <w:sz w:val="22"/>
        </w:rPr>
      </w:pPr>
    </w:p>
    <w:p w14:paraId="52880114" w14:textId="77777777" w:rsidR="00BC3FAC" w:rsidRDefault="00BC3FAC">
      <w:pPr>
        <w:jc w:val="both"/>
        <w:rPr>
          <w:rFonts w:ascii="Century Gothic" w:hAnsi="Century Gothic"/>
          <w:sz w:val="22"/>
        </w:rPr>
      </w:pPr>
      <w:r>
        <w:rPr>
          <w:rFonts w:ascii="Century Gothic" w:hAnsi="Century Gothic"/>
          <w:sz w:val="22"/>
        </w:rPr>
        <w:t>Die Stadt hat 3 Beigeordnete.</w:t>
      </w:r>
    </w:p>
    <w:p w14:paraId="469E4790" w14:textId="77777777" w:rsidR="00BC3FAC" w:rsidRDefault="00BC3FAC">
      <w:pPr>
        <w:jc w:val="both"/>
        <w:rPr>
          <w:rFonts w:ascii="Century Gothic" w:hAnsi="Century Gothic"/>
          <w:sz w:val="22"/>
        </w:rPr>
      </w:pPr>
    </w:p>
    <w:p w14:paraId="412C3D59" w14:textId="77777777" w:rsidR="00BC3FAC" w:rsidRDefault="00BC3FAC">
      <w:pPr>
        <w:jc w:val="both"/>
        <w:rPr>
          <w:rFonts w:ascii="Century Gothic" w:hAnsi="Century Gothic"/>
          <w:sz w:val="22"/>
        </w:rPr>
      </w:pPr>
    </w:p>
    <w:p w14:paraId="593A5799"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t>§ 6</w:t>
      </w:r>
    </w:p>
    <w:p w14:paraId="2E3F6160" w14:textId="77777777" w:rsidR="00BC3FAC" w:rsidRDefault="00BC3FAC">
      <w:pPr>
        <w:pStyle w:val="berschrift3"/>
      </w:pPr>
      <w:r>
        <w:t>Aufwandsentschädigung für Mitglieder des Stadtrates</w:t>
      </w:r>
    </w:p>
    <w:p w14:paraId="50875CB7"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t>und für Mitglieder von Ausschüssen</w:t>
      </w:r>
    </w:p>
    <w:p w14:paraId="73FCC533" w14:textId="77777777" w:rsidR="00BC3FAC" w:rsidRDefault="00BC3FAC">
      <w:pPr>
        <w:jc w:val="both"/>
        <w:rPr>
          <w:rFonts w:ascii="Century Gothic" w:hAnsi="Century Gothic"/>
          <w:b/>
          <w:sz w:val="22"/>
        </w:rPr>
      </w:pPr>
    </w:p>
    <w:p w14:paraId="432624DF" w14:textId="77777777" w:rsidR="00BC3FAC" w:rsidRDefault="00BC3FAC">
      <w:pPr>
        <w:jc w:val="both"/>
        <w:rPr>
          <w:rFonts w:ascii="Century Gothic" w:hAnsi="Century Gothic"/>
          <w:sz w:val="22"/>
        </w:rPr>
      </w:pPr>
      <w:r>
        <w:rPr>
          <w:rFonts w:ascii="Century Gothic" w:hAnsi="Century Gothic"/>
          <w:sz w:val="22"/>
        </w:rPr>
        <w:t>(1) Zur Abgeltung der notwendigen baren Auslagen oder sonstigen persönlichen Aufwendungen erhalten die Stadtratsmitglieder und Ausschussmitglieder für die Teilnahme an Sitzungen des Stadtrates und der Ausschüsse eine Aufwandsentschädigung nach Maßgabe des Absatzes 3. Die Aufwandsentschädigung ist vierteljährlich nachträglich und längstens bis Ende des Monats zu zahlen, in dem das Mandat erlischt.</w:t>
      </w:r>
    </w:p>
    <w:p w14:paraId="296155DB" w14:textId="77777777" w:rsidR="00BC3FAC" w:rsidRDefault="00BC3FAC">
      <w:pPr>
        <w:jc w:val="both"/>
        <w:rPr>
          <w:rFonts w:ascii="Century Gothic" w:hAnsi="Century Gothic"/>
          <w:sz w:val="22"/>
        </w:rPr>
      </w:pPr>
    </w:p>
    <w:p w14:paraId="16277A0B" w14:textId="77777777" w:rsidR="00BC3FAC" w:rsidRDefault="00BC3FAC">
      <w:pPr>
        <w:jc w:val="both"/>
        <w:rPr>
          <w:rFonts w:ascii="Century Gothic" w:hAnsi="Century Gothic"/>
          <w:sz w:val="22"/>
        </w:rPr>
      </w:pPr>
      <w:r>
        <w:rPr>
          <w:rFonts w:ascii="Century Gothic" w:hAnsi="Century Gothic"/>
          <w:sz w:val="22"/>
        </w:rPr>
        <w:t>(2) Für die Teilnahme an Sitzungen der Fraktionen, die der Vorbereitung von Stadtratssitzungen dienen, erhalten die Stadtratsmitglieder eine Entschädigung nach Maßgabe des Absatzes 3.</w:t>
      </w:r>
    </w:p>
    <w:p w14:paraId="0381B66A" w14:textId="77777777" w:rsidR="00BC3FAC" w:rsidRDefault="00BC3FAC">
      <w:pPr>
        <w:jc w:val="both"/>
        <w:rPr>
          <w:rFonts w:ascii="Century Gothic" w:hAnsi="Century Gothic"/>
          <w:sz w:val="22"/>
        </w:rPr>
      </w:pPr>
    </w:p>
    <w:p w14:paraId="223FBFC0" w14:textId="77777777" w:rsidR="00BC3FAC" w:rsidRPr="00E46F74" w:rsidRDefault="00BC3FAC" w:rsidP="007120E1">
      <w:pPr>
        <w:jc w:val="both"/>
        <w:rPr>
          <w:rFonts w:ascii="Century Gothic" w:hAnsi="Century Gothic"/>
          <w:sz w:val="22"/>
        </w:rPr>
      </w:pPr>
      <w:r>
        <w:rPr>
          <w:rFonts w:ascii="Century Gothic" w:hAnsi="Century Gothic"/>
          <w:sz w:val="22"/>
        </w:rPr>
        <w:t>(3) Die Aufwandsentschädigung wird in Form eines Sitzungsgeldes gewährt.</w:t>
      </w:r>
      <w:r w:rsidR="00CA46D8">
        <w:rPr>
          <w:rFonts w:ascii="Century Gothic" w:hAnsi="Century Gothic"/>
          <w:sz w:val="22"/>
        </w:rPr>
        <w:t xml:space="preserve"> </w:t>
      </w:r>
      <w:r>
        <w:rPr>
          <w:rFonts w:ascii="Century Gothic" w:hAnsi="Century Gothic"/>
          <w:sz w:val="22"/>
        </w:rPr>
        <w:t>Das Sitzungsgeld beträgt für die Teilnahme an einer Sitzung des Stadtrates und eines Ausschusses jeweils 12,50 €. Für die Teilnahme von Ratsmitgliedern an Fraktionssitzungen wird ein Sitzungsgeld in gleicher Höhe gezahlt. Dasselbe gilt auch für Fraktionssprecher, wenn sie an Ausschusssitzungen teilnehmen.</w:t>
      </w:r>
      <w:r w:rsidR="007120E1">
        <w:rPr>
          <w:rFonts w:ascii="Century Gothic" w:hAnsi="Century Gothic"/>
          <w:sz w:val="22"/>
        </w:rPr>
        <w:t xml:space="preserve"> </w:t>
      </w:r>
      <w:r w:rsidR="007120E1" w:rsidRPr="00E46F74">
        <w:rPr>
          <w:rFonts w:ascii="Century Gothic" w:hAnsi="Century Gothic"/>
          <w:sz w:val="22"/>
        </w:rPr>
        <w:t>Darüber hinaus erhalten Ratsmitglieder, die ihre Teilnahme am Rastinformationssystem erklärt haben, einen zusätzlichen monatlichen Betrag von 10 € für die Beschaffung bzw. Bereitstellung eine Endgerätes zur Nutzung dieses Systems. Dieser Betrag wird ab dem Monat des Zugangs der Teilnahmeerklärung gezahlt, frühestens ab Inkrafttreten dieser Regelung. Mitglieder von Ausschüssen, die nicht gewählte Ratsmitglieder sind, erhalten keinen monatlichen Betrag für die Teilnahme am Ratsinformationssystem.</w:t>
      </w:r>
    </w:p>
    <w:p w14:paraId="02ABE7EB" w14:textId="77777777" w:rsidR="00BC3FAC" w:rsidRDefault="00BC3FAC">
      <w:pPr>
        <w:jc w:val="both"/>
        <w:rPr>
          <w:rFonts w:ascii="Century Gothic" w:hAnsi="Century Gothic"/>
          <w:sz w:val="22"/>
        </w:rPr>
      </w:pPr>
    </w:p>
    <w:p w14:paraId="17ECDA92" w14:textId="77777777" w:rsidR="00BC3FAC" w:rsidRDefault="00BC3FAC">
      <w:pPr>
        <w:jc w:val="both"/>
        <w:rPr>
          <w:rFonts w:ascii="Century Gothic" w:hAnsi="Century Gothic"/>
          <w:sz w:val="22"/>
        </w:rPr>
      </w:pPr>
      <w:r>
        <w:rPr>
          <w:rFonts w:ascii="Century Gothic" w:hAnsi="Century Gothic"/>
          <w:sz w:val="22"/>
        </w:rPr>
        <w:t>(4) Neben der Entschädigung nach Absatz 3 wird nachgewiesener Lohnausfall in voller Höhe ersetzt; er umfasst bei Arbeitnehmern auch die entgangenen tariflichen und freiwilligen Arbeitgeberleistungen sowie den Arbeitgeberanteil zu den gesetzlichen Sozialversicherungsbeiträgen. Selbstständig tätige Personen erhalten auf Antrag Verdienstausfall in Höhe eines Durchschnittssatzes von 1</w:t>
      </w:r>
      <w:r w:rsidR="00A862B1">
        <w:rPr>
          <w:rFonts w:ascii="Century Gothic" w:hAnsi="Century Gothic"/>
          <w:sz w:val="22"/>
        </w:rPr>
        <w:t>5</w:t>
      </w:r>
      <w:r>
        <w:rPr>
          <w:rFonts w:ascii="Century Gothic" w:hAnsi="Century Gothic"/>
          <w:sz w:val="22"/>
        </w:rPr>
        <w:t>,-- € je Sitzung. Personen, die einen Lohn- oder Verdienstausfall nicht geltend machen können, denen aber im häuslichen Bereich ein Nachteil entsteht, der in der Regel nur durch das Nachholen versäumter Arbeit oder die Inanspruchnahme einer Hilfskraft ausgeglichen werden kann, erhalten auf Antrag einen Ausgleich in Höhe von 1</w:t>
      </w:r>
      <w:r w:rsidR="00A862B1">
        <w:rPr>
          <w:rFonts w:ascii="Century Gothic" w:hAnsi="Century Gothic"/>
          <w:sz w:val="22"/>
        </w:rPr>
        <w:t>5</w:t>
      </w:r>
      <w:r>
        <w:rPr>
          <w:rFonts w:ascii="Century Gothic" w:hAnsi="Century Gothic"/>
          <w:sz w:val="22"/>
        </w:rPr>
        <w:t>,-- € je Sitzung.</w:t>
      </w:r>
    </w:p>
    <w:p w14:paraId="7489CF5B" w14:textId="77777777" w:rsidR="00E30E7B" w:rsidRDefault="00E30E7B">
      <w:pPr>
        <w:jc w:val="both"/>
        <w:rPr>
          <w:rFonts w:ascii="Century Gothic" w:hAnsi="Century Gothic"/>
          <w:sz w:val="22"/>
        </w:rPr>
      </w:pPr>
    </w:p>
    <w:p w14:paraId="65E4CF5E" w14:textId="77777777" w:rsidR="00BC3FAC" w:rsidRDefault="00BC3FAC">
      <w:pPr>
        <w:jc w:val="both"/>
        <w:rPr>
          <w:rFonts w:ascii="Century Gothic" w:hAnsi="Century Gothic"/>
          <w:sz w:val="22"/>
        </w:rPr>
      </w:pPr>
      <w:r>
        <w:rPr>
          <w:rFonts w:ascii="Century Gothic" w:hAnsi="Century Gothic"/>
          <w:sz w:val="22"/>
        </w:rPr>
        <w:t>(5) Neben der Aufwandsentschädigung erhalten die Rats- und Ausschussmitglieder für die Teilnahme an Rats- und Ausschusssitzungen und für Dienstreisen Reisekostenvergütung nach den Bestimmungen des Landesreisekostengesetzes.</w:t>
      </w:r>
      <w:r w:rsidR="00CA46D8">
        <w:rPr>
          <w:rFonts w:ascii="Century Gothic" w:hAnsi="Century Gothic"/>
          <w:sz w:val="22"/>
        </w:rPr>
        <w:t xml:space="preserve"> </w:t>
      </w:r>
      <w:r>
        <w:rPr>
          <w:rFonts w:ascii="Century Gothic" w:hAnsi="Century Gothic"/>
          <w:sz w:val="22"/>
        </w:rPr>
        <w:t>Soweit eigene Fahrzeuge benutzt werden, wird eine Kilometerentschädigung in Höhe der für anerkannt privateigene Kfz geltenden Sätze gezahlt.</w:t>
      </w:r>
      <w:r w:rsidR="00CA46D8">
        <w:rPr>
          <w:rFonts w:ascii="Century Gothic" w:hAnsi="Century Gothic"/>
          <w:sz w:val="22"/>
        </w:rPr>
        <w:t xml:space="preserve"> </w:t>
      </w:r>
      <w:r>
        <w:rPr>
          <w:rFonts w:ascii="Century Gothic" w:hAnsi="Century Gothic"/>
          <w:sz w:val="22"/>
        </w:rPr>
        <w:t>Im Übrigen gelten die Bestimmungen des Landesreisekostengesetzes.</w:t>
      </w:r>
    </w:p>
    <w:p w14:paraId="15F425FD" w14:textId="77777777" w:rsidR="00BC3FAC" w:rsidRDefault="00BC3FAC">
      <w:pPr>
        <w:jc w:val="both"/>
        <w:rPr>
          <w:rFonts w:ascii="Century Gothic" w:hAnsi="Century Gothic"/>
          <w:sz w:val="22"/>
        </w:rPr>
      </w:pPr>
    </w:p>
    <w:p w14:paraId="52621068" w14:textId="77777777" w:rsidR="00BC3FAC" w:rsidRDefault="00BC3FAC">
      <w:pPr>
        <w:jc w:val="both"/>
        <w:rPr>
          <w:rFonts w:ascii="Century Gothic" w:hAnsi="Century Gothic"/>
          <w:sz w:val="22"/>
        </w:rPr>
      </w:pPr>
      <w:r>
        <w:rPr>
          <w:rFonts w:ascii="Century Gothic" w:hAnsi="Century Gothic"/>
          <w:sz w:val="22"/>
        </w:rPr>
        <w:t>(6) Sofern nach den gesetzlichen Bestimmungen die Entrichtung von Abzugsbeträgen geboten ist, werden diese Beträge von der Stadt getragen. Die Abzugsbeträge werden auf die Aufwandsentschädigung nicht angerechnet.</w:t>
      </w:r>
    </w:p>
    <w:p w14:paraId="171C5A26" w14:textId="77777777" w:rsidR="00BC3FAC" w:rsidRDefault="00BC3FAC">
      <w:pPr>
        <w:jc w:val="both"/>
        <w:rPr>
          <w:rFonts w:ascii="Century Gothic" w:hAnsi="Century Gothic"/>
          <w:sz w:val="22"/>
        </w:rPr>
      </w:pPr>
    </w:p>
    <w:p w14:paraId="35BB1AA7" w14:textId="77777777" w:rsidR="00BC3FAC" w:rsidRDefault="00BC3FAC">
      <w:pPr>
        <w:jc w:val="both"/>
        <w:rPr>
          <w:rFonts w:ascii="Century Gothic" w:hAnsi="Century Gothic"/>
          <w:sz w:val="22"/>
        </w:rPr>
      </w:pPr>
    </w:p>
    <w:p w14:paraId="65FA5102"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t>§ 7</w:t>
      </w:r>
    </w:p>
    <w:p w14:paraId="4F02997C"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t>Aufwandsentschädigung des Stadtbürgermeisters</w:t>
      </w:r>
    </w:p>
    <w:p w14:paraId="31C70922" w14:textId="77777777" w:rsidR="00BC3FAC" w:rsidRDefault="00BC3FAC">
      <w:pPr>
        <w:jc w:val="both"/>
        <w:rPr>
          <w:rFonts w:ascii="Century Gothic" w:hAnsi="Century Gothic"/>
          <w:sz w:val="22"/>
        </w:rPr>
      </w:pPr>
    </w:p>
    <w:p w14:paraId="3BB62416" w14:textId="77777777" w:rsidR="00BC3FAC" w:rsidRDefault="00BC3FAC">
      <w:pPr>
        <w:pStyle w:val="Textkrper"/>
      </w:pPr>
      <w:r>
        <w:t>(1) Die dem Stadtbürgermeister gemäß § 12 Abs. 1 Satz 1 KomAEVO zustehende Aufwandsentschädigung wird um 10 v. H. erhöht.</w:t>
      </w:r>
    </w:p>
    <w:p w14:paraId="55932573" w14:textId="77777777" w:rsidR="00BC3FAC" w:rsidRDefault="00BC3FAC">
      <w:pPr>
        <w:jc w:val="both"/>
        <w:rPr>
          <w:rFonts w:ascii="Century Gothic" w:hAnsi="Century Gothic"/>
          <w:sz w:val="22"/>
        </w:rPr>
      </w:pPr>
    </w:p>
    <w:p w14:paraId="0910953B" w14:textId="394651F7" w:rsidR="00BC3FAC" w:rsidRDefault="00BC3FAC">
      <w:pPr>
        <w:jc w:val="both"/>
        <w:rPr>
          <w:rFonts w:ascii="Century Gothic" w:hAnsi="Century Gothic"/>
          <w:sz w:val="22"/>
        </w:rPr>
      </w:pPr>
      <w:r>
        <w:rPr>
          <w:rFonts w:ascii="Century Gothic" w:hAnsi="Century Gothic"/>
          <w:sz w:val="22"/>
        </w:rPr>
        <w:t>(2)</w:t>
      </w:r>
      <w:r w:rsidR="003D74F9">
        <w:rPr>
          <w:rFonts w:ascii="Century Gothic" w:hAnsi="Century Gothic"/>
          <w:sz w:val="22"/>
        </w:rPr>
        <w:t xml:space="preserve"> </w:t>
      </w:r>
      <w:r w:rsidR="003D74F9" w:rsidRPr="003D74F9">
        <w:rPr>
          <w:rFonts w:ascii="Century Gothic" w:hAnsi="Century Gothic"/>
          <w:sz w:val="22"/>
        </w:rPr>
        <w:t>Neben der Entschädigung nach Absatz 1 wird nachgewiesener Lohnausfall in voller Höhe ersetzt. Er umfasst bei Personen, die in einem Dienst- oder Arbeitsverhältnis stehen, auch die entgangenen tarifvertraglichen und freiwilligen Arbeitgeberleistungen sowie den Arbeitgeberanteil zu den gesetzlichen Sozialversicherungsbeträgen. Anderen Personen (insbesondere Selbständige, Landwirte und Angehörige freier Berufe) wird auf Antrag der glaubhaft gemachte Verdienstausfall in Höhe eines Durchschnittssatzes von 35,00 € erstattet. Erstattungsfähig ist der zur Ausübung des Ehrenamtes notwendige Zeitaufwand, der in der Zeit wahrgenommen wurde, in der sonst der Berufsausübung nachgegangen worden wäre und dieser nicht zu einem späteren Zeitpunkt nachgeholt werden kann. Der Verdienstausfall kann durch Einzelnachweis über mindestens drei Monate dokumentiert und als durchschnittlicher Zeitaufwand für einen Verdienstausfall für darauffolgende Zeiträume verwendet werden. Spätestens nach zwei Jahren, oder wenn sich Anhaltspunkte ergeben, dass sich die Grundlagen wesentlich verändert haben, sind diese erneut glaubhaft zu machen. § 6 Abs. 4 Satz 3 gilt entsprechend.</w:t>
      </w:r>
    </w:p>
    <w:p w14:paraId="5C39B3DA" w14:textId="77777777" w:rsidR="00BC3FAC" w:rsidRDefault="00BC3FAC">
      <w:pPr>
        <w:jc w:val="both"/>
        <w:rPr>
          <w:rFonts w:ascii="Century Gothic" w:hAnsi="Century Gothic"/>
          <w:sz w:val="22"/>
        </w:rPr>
      </w:pPr>
    </w:p>
    <w:p w14:paraId="2CB58D9C" w14:textId="77777777" w:rsidR="00BC3FAC" w:rsidRDefault="00BC3FAC">
      <w:pPr>
        <w:jc w:val="both"/>
        <w:rPr>
          <w:rFonts w:ascii="Century Gothic" w:hAnsi="Century Gothic"/>
          <w:sz w:val="22"/>
        </w:rPr>
      </w:pPr>
      <w:r>
        <w:rPr>
          <w:rFonts w:ascii="Century Gothic" w:hAnsi="Century Gothic"/>
          <w:sz w:val="22"/>
        </w:rPr>
        <w:t>(3) Neben der Aufwandsentschädigung erhält der Stadtbürgermeister für Dienstreisen Reisekostenvergütung nach den Bestimmungen des Landesreisekostengesetzes. Soweit eigene Fahrzeuge benutzt werden, wird eine KM-Entschädigung in Höhe der für anerkannt privateigene Kfz geltenden Sätze gezahlt.</w:t>
      </w:r>
      <w:r w:rsidR="00CA46D8">
        <w:rPr>
          <w:rFonts w:ascii="Century Gothic" w:hAnsi="Century Gothic"/>
          <w:sz w:val="22"/>
        </w:rPr>
        <w:t xml:space="preserve"> </w:t>
      </w:r>
      <w:r>
        <w:rPr>
          <w:rFonts w:ascii="Century Gothic" w:hAnsi="Century Gothic"/>
          <w:sz w:val="22"/>
        </w:rPr>
        <w:t>Für die Verwendung des eigenen Fahrzeuges bei ausschließlich innerstädtischen Dienstfahrten wird abweichend von den Bestimmungen des Landesreisekostengesetzes eine pauschale Entschädigung von 1</w:t>
      </w:r>
      <w:r w:rsidR="00A862B1">
        <w:rPr>
          <w:rFonts w:ascii="Century Gothic" w:hAnsi="Century Gothic"/>
          <w:sz w:val="22"/>
        </w:rPr>
        <w:t>2</w:t>
      </w:r>
      <w:r>
        <w:rPr>
          <w:rFonts w:ascii="Century Gothic" w:hAnsi="Century Gothic"/>
          <w:sz w:val="22"/>
        </w:rPr>
        <w:t>0,-- €/monatlich gezahlt.</w:t>
      </w:r>
    </w:p>
    <w:p w14:paraId="4C06643A" w14:textId="77777777" w:rsidR="00BC3FAC" w:rsidRDefault="00BC3FAC">
      <w:pPr>
        <w:jc w:val="both"/>
        <w:rPr>
          <w:rFonts w:ascii="Century Gothic" w:hAnsi="Century Gothic"/>
          <w:sz w:val="22"/>
        </w:rPr>
      </w:pPr>
    </w:p>
    <w:p w14:paraId="2C3FD4A5" w14:textId="77777777" w:rsidR="00BC3FAC" w:rsidRDefault="00BC3FAC">
      <w:pPr>
        <w:jc w:val="both"/>
        <w:rPr>
          <w:rFonts w:ascii="Century Gothic" w:hAnsi="Century Gothic"/>
          <w:sz w:val="22"/>
        </w:rPr>
      </w:pPr>
      <w:r>
        <w:rPr>
          <w:rFonts w:ascii="Century Gothic" w:hAnsi="Century Gothic"/>
          <w:sz w:val="22"/>
        </w:rPr>
        <w:t>(4) Sofern nach den gesetzlichen Bestimmungen die Entrichtung von Abzugsbeträgen geboten ist, werden diese Beträge von der Stadt getragen. Die Abzugsbeträge werden auf die Aufwandsentschädigung nicht angerechnet.</w:t>
      </w:r>
    </w:p>
    <w:p w14:paraId="27CD9409" w14:textId="77777777" w:rsidR="00E30E7B" w:rsidRDefault="00E30E7B">
      <w:pPr>
        <w:jc w:val="both"/>
        <w:rPr>
          <w:rFonts w:ascii="Century Gothic" w:hAnsi="Century Gothic"/>
          <w:sz w:val="22"/>
        </w:rPr>
      </w:pPr>
    </w:p>
    <w:p w14:paraId="14B4EBCC" w14:textId="77777777" w:rsidR="00E30E7B" w:rsidRDefault="00E30E7B">
      <w:pPr>
        <w:jc w:val="both"/>
        <w:rPr>
          <w:rFonts w:ascii="Century Gothic" w:hAnsi="Century Gothic"/>
          <w:sz w:val="22"/>
        </w:rPr>
      </w:pPr>
    </w:p>
    <w:p w14:paraId="7BC6B25E"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t>§ 8</w:t>
      </w:r>
    </w:p>
    <w:p w14:paraId="10B5C85F" w14:textId="77777777" w:rsidR="00BC3FAC" w:rsidRDefault="00BC3FAC">
      <w:pPr>
        <w:pStyle w:val="berschrift3"/>
      </w:pPr>
      <w:r>
        <w:t>Aufwandsentschädigung der Beigeordneten</w:t>
      </w:r>
    </w:p>
    <w:p w14:paraId="28D4A0AE" w14:textId="77777777" w:rsidR="00BC3FAC" w:rsidRDefault="00BC3FAC">
      <w:pPr>
        <w:jc w:val="both"/>
        <w:rPr>
          <w:rFonts w:ascii="Century Gothic" w:hAnsi="Century Gothic"/>
          <w:b/>
          <w:sz w:val="22"/>
        </w:rPr>
      </w:pPr>
    </w:p>
    <w:p w14:paraId="00250796" w14:textId="77777777" w:rsidR="00BC3FAC" w:rsidRDefault="00BC3FAC">
      <w:pPr>
        <w:jc w:val="both"/>
        <w:rPr>
          <w:rFonts w:ascii="Century Gothic" w:hAnsi="Century Gothic"/>
          <w:sz w:val="22"/>
        </w:rPr>
      </w:pPr>
      <w:r>
        <w:rPr>
          <w:rFonts w:ascii="Century Gothic" w:hAnsi="Century Gothic"/>
          <w:sz w:val="22"/>
        </w:rPr>
        <w:t>(1) Ehrenamtliche Beigeordnete erhalten für den Fall der Vertretung des Stadtbürgermeisters eine Aufwandsentschädigung in Höhe der Aufwandsentschädigung des Bürgermeisters nach § 12 Abs. 1 Satz 1 KomAEVO.</w:t>
      </w:r>
      <w:r w:rsidR="00C22624">
        <w:rPr>
          <w:rFonts w:ascii="Century Gothic" w:hAnsi="Century Gothic"/>
          <w:sz w:val="22"/>
        </w:rPr>
        <w:t xml:space="preserve"> </w:t>
      </w:r>
      <w:r>
        <w:rPr>
          <w:rFonts w:ascii="Century Gothic" w:hAnsi="Century Gothic"/>
          <w:sz w:val="22"/>
        </w:rPr>
        <w:t>Erfolgt die Vertretung des Stadtbürgermeisters nicht für die Dauer eines vollen Monats, so beträgt sie für jeden Tag der Vertretung 1/30 des Monatsbetrages gemäß Satz 1. Erfolgt die Vertretung während eines kürzeren Zeitraumes als einen vollen Tag, so erhält er die Hälfte der Aufwandsentschädigung nach Satz 2.</w:t>
      </w:r>
    </w:p>
    <w:p w14:paraId="27A0A6D6" w14:textId="77777777" w:rsidR="00BC3FAC" w:rsidRDefault="00BC3FAC">
      <w:pPr>
        <w:jc w:val="both"/>
        <w:rPr>
          <w:rFonts w:ascii="Century Gothic" w:hAnsi="Century Gothic"/>
          <w:sz w:val="22"/>
        </w:rPr>
      </w:pPr>
    </w:p>
    <w:p w14:paraId="592D3310" w14:textId="77777777" w:rsidR="00BC3FAC" w:rsidRDefault="00BC3FAC">
      <w:pPr>
        <w:jc w:val="both"/>
        <w:rPr>
          <w:rFonts w:ascii="Century Gothic" w:hAnsi="Century Gothic"/>
          <w:sz w:val="22"/>
        </w:rPr>
      </w:pPr>
      <w:r>
        <w:rPr>
          <w:rFonts w:ascii="Century Gothic" w:hAnsi="Century Gothic"/>
          <w:sz w:val="22"/>
        </w:rPr>
        <w:t>(</w:t>
      </w:r>
      <w:r w:rsidR="00E46F74">
        <w:rPr>
          <w:rFonts w:ascii="Century Gothic" w:hAnsi="Century Gothic"/>
          <w:sz w:val="22"/>
        </w:rPr>
        <w:t>2</w:t>
      </w:r>
      <w:r>
        <w:rPr>
          <w:rFonts w:ascii="Century Gothic" w:hAnsi="Century Gothic"/>
          <w:sz w:val="22"/>
        </w:rPr>
        <w:t>) Ehrenamtliche Beigeordnete, die nicht Stadtratsmitglied sind und denen keine Aufwandsentschädigung nach Abs. 1 gewährt wird, erhalten für die Teilnahme an den Sitzungen des Stadtrates, der Ausschüsse, der Fraktionen und der Besprechungen mit dem Stadtbürgermeister (§ 50 Abs. 7 GemO) und dem Bürgermeister der Verbandsgemeinde (§ 69 Abs. 4 GemO) die für Stadtrats- und Ausschussmitglieder festgesetzte Aufwandsentschädigung gemäß § 6 Abs. 3.</w:t>
      </w:r>
    </w:p>
    <w:p w14:paraId="360CD470" w14:textId="77777777" w:rsidR="00BC3FAC" w:rsidRDefault="00BC3FAC">
      <w:pPr>
        <w:jc w:val="both"/>
        <w:rPr>
          <w:rFonts w:ascii="Century Gothic" w:hAnsi="Century Gothic"/>
          <w:sz w:val="22"/>
        </w:rPr>
      </w:pPr>
    </w:p>
    <w:p w14:paraId="253EAE8C" w14:textId="77777777" w:rsidR="00BC3FAC" w:rsidRDefault="00BC3FAC">
      <w:pPr>
        <w:jc w:val="both"/>
        <w:rPr>
          <w:rFonts w:ascii="Century Gothic" w:hAnsi="Century Gothic"/>
          <w:sz w:val="22"/>
        </w:rPr>
      </w:pPr>
      <w:r>
        <w:rPr>
          <w:rFonts w:ascii="Century Gothic" w:hAnsi="Century Gothic"/>
          <w:sz w:val="22"/>
        </w:rPr>
        <w:t>(</w:t>
      </w:r>
      <w:r w:rsidR="00E46F74">
        <w:rPr>
          <w:rFonts w:ascii="Century Gothic" w:hAnsi="Century Gothic"/>
          <w:sz w:val="22"/>
        </w:rPr>
        <w:t>3</w:t>
      </w:r>
      <w:r>
        <w:rPr>
          <w:rFonts w:ascii="Century Gothic" w:hAnsi="Century Gothic"/>
          <w:sz w:val="22"/>
        </w:rPr>
        <w:t>) Dem ehrenamtlichen Beigeordneten, der den Stadtbürgermeister vertritt, werden während der Dauer der Vertretung des Bürgermeisters die Fahrtkosten für Fahrten zwischen Wohnort und Dienstort erstattet.</w:t>
      </w:r>
    </w:p>
    <w:p w14:paraId="70BAECE0" w14:textId="77777777" w:rsidR="00BC3FAC" w:rsidRDefault="00BC3FAC">
      <w:pPr>
        <w:jc w:val="both"/>
        <w:rPr>
          <w:rFonts w:ascii="Century Gothic" w:hAnsi="Century Gothic"/>
          <w:sz w:val="22"/>
        </w:rPr>
      </w:pPr>
    </w:p>
    <w:p w14:paraId="4E1E3A2C" w14:textId="77777777" w:rsidR="00BC3FAC" w:rsidRDefault="00BC3FAC">
      <w:pPr>
        <w:jc w:val="both"/>
        <w:rPr>
          <w:rFonts w:ascii="Century Gothic" w:hAnsi="Century Gothic"/>
          <w:sz w:val="22"/>
        </w:rPr>
      </w:pPr>
      <w:r>
        <w:rPr>
          <w:rFonts w:ascii="Century Gothic" w:hAnsi="Century Gothic"/>
          <w:sz w:val="22"/>
        </w:rPr>
        <w:t>(</w:t>
      </w:r>
      <w:r w:rsidR="00E46F74">
        <w:rPr>
          <w:rFonts w:ascii="Century Gothic" w:hAnsi="Century Gothic"/>
          <w:sz w:val="22"/>
        </w:rPr>
        <w:t>4</w:t>
      </w:r>
      <w:r>
        <w:rPr>
          <w:rFonts w:ascii="Century Gothic" w:hAnsi="Century Gothic"/>
          <w:sz w:val="22"/>
        </w:rPr>
        <w:t>) § 6 Abs. 4 - 6 gilt entsprechend.</w:t>
      </w:r>
    </w:p>
    <w:p w14:paraId="78AA79EE" w14:textId="77777777" w:rsidR="00BC3FAC" w:rsidRDefault="00BC3FAC">
      <w:pPr>
        <w:jc w:val="both"/>
        <w:rPr>
          <w:rFonts w:ascii="Century Gothic" w:hAnsi="Century Gothic"/>
          <w:sz w:val="22"/>
        </w:rPr>
      </w:pPr>
    </w:p>
    <w:p w14:paraId="3F149865" w14:textId="77777777" w:rsidR="00BC3FAC" w:rsidRDefault="00BC3FAC">
      <w:pPr>
        <w:jc w:val="both"/>
        <w:rPr>
          <w:rFonts w:ascii="Century Gothic" w:hAnsi="Century Gothic"/>
          <w:sz w:val="22"/>
        </w:rPr>
      </w:pPr>
    </w:p>
    <w:p w14:paraId="14273B21" w14:textId="77777777" w:rsidR="00BC3FAC" w:rsidRDefault="00BC3FAC">
      <w:pPr>
        <w:shd w:val="clear" w:color="auto" w:fill="D9D9D9"/>
        <w:jc w:val="center"/>
        <w:rPr>
          <w:rFonts w:ascii="Century Gothic" w:hAnsi="Century Gothic"/>
          <w:b/>
          <w:bCs/>
          <w:i/>
          <w:iCs/>
          <w:sz w:val="22"/>
        </w:rPr>
      </w:pPr>
      <w:r>
        <w:rPr>
          <w:rFonts w:ascii="Century Gothic" w:hAnsi="Century Gothic"/>
          <w:b/>
          <w:bCs/>
          <w:i/>
          <w:iCs/>
          <w:sz w:val="22"/>
        </w:rPr>
        <w:t>§ 9</w:t>
      </w:r>
    </w:p>
    <w:p w14:paraId="40140BB3" w14:textId="77777777" w:rsidR="00BC3FAC" w:rsidRDefault="00BC3FAC">
      <w:pPr>
        <w:pStyle w:val="berschrift3"/>
      </w:pPr>
      <w:r>
        <w:t>Aufwandsentschädigung für weitere Ehrenämter</w:t>
      </w:r>
    </w:p>
    <w:p w14:paraId="5C119A08" w14:textId="77777777" w:rsidR="00BC3FAC" w:rsidRDefault="00BC3FAC">
      <w:pPr>
        <w:jc w:val="both"/>
        <w:rPr>
          <w:rFonts w:ascii="Century Gothic" w:hAnsi="Century Gothic"/>
          <w:sz w:val="22"/>
        </w:rPr>
      </w:pPr>
    </w:p>
    <w:p w14:paraId="2A4F141A" w14:textId="77777777" w:rsidR="00A862B1" w:rsidRPr="00A862B1" w:rsidRDefault="00A862B1" w:rsidP="00A862B1">
      <w:pPr>
        <w:jc w:val="both"/>
        <w:rPr>
          <w:rFonts w:ascii="Century Gothic" w:hAnsi="Century Gothic"/>
          <w:sz w:val="22"/>
        </w:rPr>
      </w:pPr>
      <w:r w:rsidRPr="00A862B1">
        <w:rPr>
          <w:rFonts w:ascii="Century Gothic" w:hAnsi="Century Gothic"/>
          <w:sz w:val="22"/>
        </w:rPr>
        <w:t>Den Inhabern der Ehrenämter „Markierung der touristischen Wege“, „Loipendienst“ und „</w:t>
      </w:r>
      <w:bookmarkStart w:id="0" w:name="_Hlk171526490"/>
      <w:r w:rsidRPr="00A862B1">
        <w:rPr>
          <w:rFonts w:ascii="Century Gothic" w:hAnsi="Century Gothic"/>
          <w:sz w:val="22"/>
        </w:rPr>
        <w:t>touristischen Führungen und vergleichbare Angebote für und im Auftrag der Stadt Bad Marienberg</w:t>
      </w:r>
      <w:bookmarkEnd w:id="0"/>
      <w:r w:rsidRPr="00A862B1">
        <w:rPr>
          <w:rFonts w:ascii="Century Gothic" w:hAnsi="Century Gothic"/>
          <w:sz w:val="22"/>
        </w:rPr>
        <w:t>“ erhalten eine Aufwandsentschädigung. Diese beträgt</w:t>
      </w:r>
    </w:p>
    <w:p w14:paraId="36C2F234" w14:textId="77777777" w:rsidR="00A862B1" w:rsidRPr="00A862B1" w:rsidRDefault="00A862B1" w:rsidP="00A862B1">
      <w:pPr>
        <w:jc w:val="both"/>
        <w:rPr>
          <w:rFonts w:ascii="Century Gothic" w:hAnsi="Century Gothic"/>
          <w:sz w:val="22"/>
        </w:rPr>
      </w:pPr>
    </w:p>
    <w:p w14:paraId="6FD276AD" w14:textId="77777777" w:rsidR="00A862B1" w:rsidRPr="00A862B1" w:rsidRDefault="00A862B1" w:rsidP="00A862B1">
      <w:pPr>
        <w:jc w:val="both"/>
        <w:rPr>
          <w:rFonts w:ascii="Century Gothic" w:hAnsi="Century Gothic"/>
          <w:sz w:val="22"/>
        </w:rPr>
      </w:pPr>
    </w:p>
    <w:p w14:paraId="781FB71E" w14:textId="77777777" w:rsidR="00A862B1" w:rsidRPr="00A862B1" w:rsidRDefault="00A862B1" w:rsidP="00A862B1">
      <w:pPr>
        <w:numPr>
          <w:ilvl w:val="0"/>
          <w:numId w:val="5"/>
        </w:numPr>
        <w:tabs>
          <w:tab w:val="left" w:pos="4536"/>
        </w:tabs>
        <w:ind w:left="426" w:hanging="426"/>
        <w:jc w:val="both"/>
        <w:rPr>
          <w:rFonts w:ascii="Century Gothic" w:hAnsi="Century Gothic"/>
          <w:sz w:val="22"/>
        </w:rPr>
      </w:pPr>
      <w:r w:rsidRPr="00A862B1">
        <w:rPr>
          <w:rFonts w:ascii="Century Gothic" w:hAnsi="Century Gothic"/>
          <w:sz w:val="22"/>
        </w:rPr>
        <w:t>Markierung der touristischen Wege</w:t>
      </w:r>
      <w:r w:rsidRPr="00A862B1">
        <w:rPr>
          <w:rFonts w:ascii="Century Gothic" w:hAnsi="Century Gothic"/>
          <w:sz w:val="22"/>
        </w:rPr>
        <w:tab/>
        <w:t>halbjährlich 225,-- € (für 15 Stunden)</w:t>
      </w:r>
    </w:p>
    <w:p w14:paraId="73C0E5DE" w14:textId="77777777" w:rsidR="00A862B1" w:rsidRPr="00A862B1" w:rsidRDefault="00A862B1" w:rsidP="00A862B1">
      <w:pPr>
        <w:numPr>
          <w:ilvl w:val="0"/>
          <w:numId w:val="5"/>
        </w:numPr>
        <w:tabs>
          <w:tab w:val="left" w:pos="4536"/>
        </w:tabs>
        <w:ind w:left="426" w:hanging="426"/>
        <w:jc w:val="both"/>
        <w:rPr>
          <w:rFonts w:ascii="Century Gothic" w:hAnsi="Century Gothic"/>
          <w:sz w:val="22"/>
        </w:rPr>
      </w:pPr>
      <w:r w:rsidRPr="00A862B1">
        <w:rPr>
          <w:rFonts w:ascii="Century Gothic" w:hAnsi="Century Gothic"/>
          <w:sz w:val="22"/>
        </w:rPr>
        <w:t>Beauftragte für den Loipendienst</w:t>
      </w:r>
      <w:r w:rsidRPr="00A862B1">
        <w:rPr>
          <w:rFonts w:ascii="Century Gothic" w:hAnsi="Century Gothic"/>
          <w:sz w:val="22"/>
        </w:rPr>
        <w:tab/>
        <w:t>15,-- € pro Stunde</w:t>
      </w:r>
    </w:p>
    <w:p w14:paraId="4A3F6C1C" w14:textId="77777777" w:rsidR="00A862B1" w:rsidRPr="00A862B1" w:rsidRDefault="00A862B1" w:rsidP="00A862B1">
      <w:pPr>
        <w:numPr>
          <w:ilvl w:val="0"/>
          <w:numId w:val="5"/>
        </w:numPr>
        <w:tabs>
          <w:tab w:val="left" w:pos="4536"/>
        </w:tabs>
        <w:ind w:left="426" w:hanging="426"/>
        <w:jc w:val="both"/>
        <w:rPr>
          <w:rFonts w:ascii="Century Gothic" w:hAnsi="Century Gothic"/>
          <w:sz w:val="22"/>
        </w:rPr>
      </w:pPr>
      <w:r w:rsidRPr="00A862B1">
        <w:rPr>
          <w:rFonts w:ascii="Century Gothic" w:hAnsi="Century Gothic"/>
          <w:sz w:val="22"/>
        </w:rPr>
        <w:t>touristischen Führungen und vergleichbare Angebote für und im Auftrag der Stadt Bad Marienberg</w:t>
      </w:r>
      <w:r w:rsidRPr="00A862B1">
        <w:rPr>
          <w:rFonts w:ascii="Century Gothic" w:hAnsi="Century Gothic"/>
          <w:sz w:val="22"/>
        </w:rPr>
        <w:tab/>
        <w:t>40,-- € pro Führung</w:t>
      </w:r>
      <w:r w:rsidRPr="00A862B1">
        <w:rPr>
          <w:rFonts w:ascii="Century Gothic" w:hAnsi="Century Gothic"/>
          <w:sz w:val="22"/>
        </w:rPr>
        <w:tab/>
      </w:r>
      <w:r w:rsidRPr="00A862B1">
        <w:rPr>
          <w:rFonts w:ascii="Century Gothic" w:hAnsi="Century Gothic"/>
          <w:sz w:val="22"/>
        </w:rPr>
        <w:br/>
        <w:t>bzw. 10,-- Ausfallhonorar bei Absagen wegen Teilnehmermangel</w:t>
      </w:r>
    </w:p>
    <w:p w14:paraId="7E234EC0" w14:textId="77777777" w:rsidR="00A862B1" w:rsidRPr="00A862B1" w:rsidRDefault="00A862B1" w:rsidP="00A862B1">
      <w:pPr>
        <w:jc w:val="both"/>
        <w:rPr>
          <w:rFonts w:ascii="Century Gothic" w:hAnsi="Century Gothic"/>
          <w:sz w:val="22"/>
        </w:rPr>
      </w:pPr>
    </w:p>
    <w:p w14:paraId="2B912120" w14:textId="77777777" w:rsidR="00BC3FAC" w:rsidRDefault="00BC3FAC">
      <w:pPr>
        <w:jc w:val="both"/>
        <w:rPr>
          <w:rFonts w:ascii="Century Gothic" w:hAnsi="Century Gothic"/>
          <w:sz w:val="22"/>
        </w:rPr>
      </w:pPr>
    </w:p>
    <w:p w14:paraId="79B08863" w14:textId="77777777" w:rsidR="00BC3FAC" w:rsidRDefault="00BC3FAC">
      <w:pPr>
        <w:tabs>
          <w:tab w:val="left" w:pos="851"/>
          <w:tab w:val="left" w:pos="993"/>
          <w:tab w:val="left" w:pos="7088"/>
          <w:tab w:val="right" w:pos="8647"/>
        </w:tabs>
        <w:jc w:val="both"/>
        <w:rPr>
          <w:rFonts w:ascii="Century Gothic" w:hAnsi="Century Gothic"/>
          <w:sz w:val="22"/>
        </w:rPr>
      </w:pPr>
    </w:p>
    <w:p w14:paraId="046D2DE9" w14:textId="77777777" w:rsidR="00BC3FAC" w:rsidRDefault="00BC3FAC">
      <w:pPr>
        <w:shd w:val="clear" w:color="auto" w:fill="D9D9D9"/>
        <w:tabs>
          <w:tab w:val="left" w:pos="851"/>
          <w:tab w:val="left" w:pos="993"/>
          <w:tab w:val="left" w:pos="7088"/>
          <w:tab w:val="right" w:pos="8647"/>
        </w:tabs>
        <w:jc w:val="center"/>
        <w:rPr>
          <w:rFonts w:ascii="Century Gothic" w:hAnsi="Century Gothic"/>
          <w:b/>
          <w:bCs/>
          <w:i/>
          <w:iCs/>
          <w:sz w:val="22"/>
        </w:rPr>
      </w:pPr>
      <w:r>
        <w:rPr>
          <w:rFonts w:ascii="Century Gothic" w:hAnsi="Century Gothic"/>
          <w:b/>
          <w:bCs/>
          <w:i/>
          <w:iCs/>
          <w:sz w:val="22"/>
        </w:rPr>
        <w:t>§ 10</w:t>
      </w:r>
    </w:p>
    <w:p w14:paraId="6B870581" w14:textId="77777777" w:rsidR="00BC3FAC" w:rsidRDefault="00BC3FAC">
      <w:pPr>
        <w:pStyle w:val="berschrift3"/>
        <w:tabs>
          <w:tab w:val="left" w:pos="851"/>
          <w:tab w:val="left" w:pos="993"/>
          <w:tab w:val="left" w:pos="7088"/>
          <w:tab w:val="right" w:pos="8647"/>
        </w:tabs>
      </w:pPr>
      <w:r>
        <w:t>Inkrafttreten</w:t>
      </w:r>
    </w:p>
    <w:p w14:paraId="35EB191B" w14:textId="77777777" w:rsidR="00BC3FAC" w:rsidRDefault="00BC3FAC">
      <w:pPr>
        <w:tabs>
          <w:tab w:val="left" w:pos="851"/>
          <w:tab w:val="left" w:pos="993"/>
          <w:tab w:val="left" w:pos="7088"/>
          <w:tab w:val="right" w:pos="8647"/>
        </w:tabs>
        <w:jc w:val="both"/>
        <w:rPr>
          <w:rFonts w:ascii="Century Gothic" w:hAnsi="Century Gothic"/>
          <w:b/>
          <w:sz w:val="22"/>
        </w:rPr>
      </w:pPr>
    </w:p>
    <w:p w14:paraId="172EE260" w14:textId="77777777" w:rsidR="00BC3FAC" w:rsidRPr="001526A1" w:rsidRDefault="00BC3FAC">
      <w:pPr>
        <w:tabs>
          <w:tab w:val="left" w:pos="851"/>
          <w:tab w:val="left" w:pos="993"/>
          <w:tab w:val="left" w:pos="7088"/>
          <w:tab w:val="right" w:pos="8647"/>
        </w:tabs>
        <w:jc w:val="both"/>
        <w:rPr>
          <w:rFonts w:ascii="Century Gothic" w:hAnsi="Century Gothic"/>
          <w:sz w:val="22"/>
        </w:rPr>
      </w:pPr>
      <w:r w:rsidRPr="00F468D9">
        <w:rPr>
          <w:rFonts w:ascii="Century Gothic" w:hAnsi="Century Gothic"/>
          <w:sz w:val="22"/>
        </w:rPr>
        <w:t xml:space="preserve">(1) Die Hauptsatzung tritt zum </w:t>
      </w:r>
      <w:r w:rsidR="00140E49" w:rsidRPr="001526A1">
        <w:rPr>
          <w:rFonts w:ascii="Century Gothic" w:hAnsi="Century Gothic"/>
          <w:sz w:val="22"/>
        </w:rPr>
        <w:t>5</w:t>
      </w:r>
      <w:r w:rsidRPr="001526A1">
        <w:rPr>
          <w:rFonts w:ascii="Century Gothic" w:hAnsi="Century Gothic"/>
          <w:sz w:val="22"/>
        </w:rPr>
        <w:t xml:space="preserve">. </w:t>
      </w:r>
      <w:r w:rsidR="00140E49" w:rsidRPr="001526A1">
        <w:rPr>
          <w:rFonts w:ascii="Century Gothic" w:hAnsi="Century Gothic"/>
          <w:sz w:val="22"/>
        </w:rPr>
        <w:t>Dezember</w:t>
      </w:r>
      <w:r w:rsidRPr="001526A1">
        <w:rPr>
          <w:rFonts w:ascii="Century Gothic" w:hAnsi="Century Gothic"/>
          <w:sz w:val="22"/>
        </w:rPr>
        <w:t xml:space="preserve"> 201</w:t>
      </w:r>
      <w:r w:rsidR="00140E49" w:rsidRPr="001526A1">
        <w:rPr>
          <w:rFonts w:ascii="Century Gothic" w:hAnsi="Century Gothic"/>
          <w:sz w:val="22"/>
        </w:rPr>
        <w:t>1</w:t>
      </w:r>
      <w:r w:rsidRPr="001526A1">
        <w:rPr>
          <w:rFonts w:ascii="Century Gothic" w:hAnsi="Century Gothic"/>
          <w:sz w:val="22"/>
        </w:rPr>
        <w:t xml:space="preserve"> in Kraft.</w:t>
      </w:r>
    </w:p>
    <w:p w14:paraId="7CAF2DE0" w14:textId="77777777" w:rsidR="00BC3FAC" w:rsidRPr="001526A1" w:rsidRDefault="00BC3FAC">
      <w:pPr>
        <w:tabs>
          <w:tab w:val="left" w:pos="851"/>
          <w:tab w:val="left" w:pos="993"/>
          <w:tab w:val="left" w:pos="7088"/>
          <w:tab w:val="right" w:pos="8647"/>
        </w:tabs>
        <w:jc w:val="both"/>
        <w:rPr>
          <w:rFonts w:ascii="Century Gothic" w:hAnsi="Century Gothic"/>
          <w:sz w:val="22"/>
        </w:rPr>
      </w:pPr>
    </w:p>
    <w:p w14:paraId="677FE2A2" w14:textId="77777777" w:rsidR="00BC3FAC" w:rsidRPr="001526A1" w:rsidRDefault="00BC3FAC">
      <w:pPr>
        <w:tabs>
          <w:tab w:val="left" w:pos="851"/>
          <w:tab w:val="left" w:pos="993"/>
          <w:tab w:val="left" w:pos="7088"/>
          <w:tab w:val="right" w:pos="8647"/>
        </w:tabs>
        <w:jc w:val="both"/>
        <w:rPr>
          <w:rFonts w:ascii="Century Gothic" w:hAnsi="Century Gothic"/>
          <w:sz w:val="22"/>
        </w:rPr>
      </w:pPr>
      <w:r w:rsidRPr="001526A1">
        <w:rPr>
          <w:rFonts w:ascii="Century Gothic" w:hAnsi="Century Gothic"/>
          <w:sz w:val="22"/>
        </w:rPr>
        <w:t>(2) Gleichzeitig tritt die Hauptsatzung vom 2</w:t>
      </w:r>
      <w:r w:rsidR="00140E49" w:rsidRPr="001526A1">
        <w:rPr>
          <w:rFonts w:ascii="Century Gothic" w:hAnsi="Century Gothic"/>
          <w:sz w:val="22"/>
        </w:rPr>
        <w:t>9.</w:t>
      </w:r>
      <w:r w:rsidRPr="001526A1">
        <w:rPr>
          <w:rFonts w:ascii="Century Gothic" w:hAnsi="Century Gothic"/>
          <w:sz w:val="22"/>
        </w:rPr>
        <w:t xml:space="preserve"> </w:t>
      </w:r>
      <w:r w:rsidR="00140E49" w:rsidRPr="001526A1">
        <w:rPr>
          <w:rFonts w:ascii="Century Gothic" w:hAnsi="Century Gothic"/>
          <w:sz w:val="22"/>
        </w:rPr>
        <w:t>Juni 2010</w:t>
      </w:r>
      <w:r w:rsidRPr="001526A1">
        <w:rPr>
          <w:rFonts w:ascii="Century Gothic" w:hAnsi="Century Gothic"/>
          <w:sz w:val="22"/>
        </w:rPr>
        <w:t xml:space="preserve"> außer Kraft.</w:t>
      </w:r>
    </w:p>
    <w:p w14:paraId="30264F39" w14:textId="77777777" w:rsidR="00BC3FAC" w:rsidRPr="001526A1" w:rsidRDefault="00BC3FAC">
      <w:pPr>
        <w:tabs>
          <w:tab w:val="left" w:pos="851"/>
          <w:tab w:val="left" w:pos="993"/>
          <w:tab w:val="left" w:pos="7088"/>
          <w:tab w:val="right" w:pos="8647"/>
        </w:tabs>
        <w:jc w:val="both"/>
        <w:rPr>
          <w:rFonts w:ascii="Century Gothic" w:hAnsi="Century Gothic"/>
          <w:sz w:val="22"/>
        </w:rPr>
      </w:pPr>
    </w:p>
    <w:p w14:paraId="48BA068A" w14:textId="77777777" w:rsidR="00BC3FAC" w:rsidRPr="001526A1" w:rsidRDefault="00BC3FAC">
      <w:pPr>
        <w:tabs>
          <w:tab w:val="left" w:pos="851"/>
          <w:tab w:val="left" w:pos="993"/>
          <w:tab w:val="left" w:pos="7088"/>
          <w:tab w:val="right" w:pos="8647"/>
        </w:tabs>
        <w:jc w:val="both"/>
        <w:rPr>
          <w:rFonts w:ascii="Century Gothic" w:hAnsi="Century Gothic"/>
          <w:sz w:val="22"/>
        </w:rPr>
      </w:pPr>
    </w:p>
    <w:p w14:paraId="2399A4E4" w14:textId="77777777" w:rsidR="00BC3FAC" w:rsidRPr="001526A1" w:rsidRDefault="00BC3FAC">
      <w:pPr>
        <w:tabs>
          <w:tab w:val="left" w:pos="4536"/>
          <w:tab w:val="left" w:pos="7088"/>
          <w:tab w:val="right" w:pos="8647"/>
        </w:tabs>
        <w:jc w:val="both"/>
        <w:rPr>
          <w:rFonts w:ascii="Century Gothic" w:hAnsi="Century Gothic"/>
          <w:sz w:val="22"/>
          <w:u w:val="single"/>
        </w:rPr>
      </w:pPr>
      <w:r w:rsidRPr="001526A1">
        <w:rPr>
          <w:rFonts w:ascii="Century Gothic" w:hAnsi="Century Gothic"/>
          <w:sz w:val="22"/>
        </w:rPr>
        <w:t xml:space="preserve">Bad Marienberg, </w:t>
      </w:r>
      <w:r w:rsidR="00140E49" w:rsidRPr="001526A1">
        <w:rPr>
          <w:rFonts w:ascii="Century Gothic" w:hAnsi="Century Gothic"/>
          <w:sz w:val="22"/>
        </w:rPr>
        <w:t>22</w:t>
      </w:r>
      <w:r w:rsidRPr="001526A1">
        <w:rPr>
          <w:rFonts w:ascii="Century Gothic" w:hAnsi="Century Gothic"/>
          <w:sz w:val="22"/>
        </w:rPr>
        <w:t xml:space="preserve">. </w:t>
      </w:r>
      <w:r w:rsidR="00140E49" w:rsidRPr="001526A1">
        <w:rPr>
          <w:rFonts w:ascii="Century Gothic" w:hAnsi="Century Gothic"/>
          <w:sz w:val="22"/>
        </w:rPr>
        <w:t>November 2011</w:t>
      </w:r>
    </w:p>
    <w:p w14:paraId="5857809D" w14:textId="77777777" w:rsidR="00BC3FAC" w:rsidRPr="001526A1" w:rsidRDefault="00BC3FAC">
      <w:pPr>
        <w:tabs>
          <w:tab w:val="left" w:pos="851"/>
          <w:tab w:val="left" w:pos="993"/>
          <w:tab w:val="left" w:pos="7088"/>
          <w:tab w:val="right" w:pos="8647"/>
        </w:tabs>
        <w:jc w:val="both"/>
        <w:rPr>
          <w:rFonts w:ascii="Century Gothic" w:hAnsi="Century Gothic"/>
          <w:sz w:val="22"/>
        </w:rPr>
      </w:pPr>
    </w:p>
    <w:p w14:paraId="2FEDF34F" w14:textId="77777777" w:rsidR="00BC3FAC" w:rsidRPr="001526A1" w:rsidRDefault="00BC3FAC">
      <w:pPr>
        <w:tabs>
          <w:tab w:val="left" w:pos="851"/>
          <w:tab w:val="left" w:pos="993"/>
          <w:tab w:val="left" w:pos="7088"/>
          <w:tab w:val="right" w:pos="8647"/>
        </w:tabs>
        <w:jc w:val="both"/>
        <w:rPr>
          <w:rFonts w:ascii="Century Gothic" w:hAnsi="Century Gothic"/>
          <w:sz w:val="22"/>
        </w:rPr>
      </w:pPr>
    </w:p>
    <w:p w14:paraId="569BE33B" w14:textId="77777777" w:rsidR="00BC3FAC" w:rsidRPr="001526A1" w:rsidRDefault="00BC3FAC">
      <w:pPr>
        <w:tabs>
          <w:tab w:val="left" w:pos="851"/>
          <w:tab w:val="left" w:pos="993"/>
          <w:tab w:val="left" w:pos="7088"/>
          <w:tab w:val="right" w:pos="8647"/>
        </w:tabs>
        <w:jc w:val="both"/>
        <w:rPr>
          <w:rFonts w:ascii="Century Gothic" w:hAnsi="Century Gothic"/>
          <w:sz w:val="22"/>
        </w:rPr>
      </w:pPr>
    </w:p>
    <w:p w14:paraId="35693DDA" w14:textId="77777777" w:rsidR="00BC3FAC" w:rsidRPr="001526A1" w:rsidRDefault="00BC3FAC">
      <w:pPr>
        <w:tabs>
          <w:tab w:val="left" w:pos="851"/>
          <w:tab w:val="left" w:pos="993"/>
          <w:tab w:val="left" w:pos="7088"/>
          <w:tab w:val="right" w:pos="8647"/>
        </w:tabs>
        <w:jc w:val="both"/>
        <w:rPr>
          <w:rFonts w:ascii="Century Gothic" w:hAnsi="Century Gothic"/>
          <w:sz w:val="22"/>
        </w:rPr>
      </w:pPr>
    </w:p>
    <w:p w14:paraId="2176B1DC" w14:textId="77777777" w:rsidR="00BC3FAC" w:rsidRPr="001526A1" w:rsidRDefault="00BC3FAC">
      <w:pPr>
        <w:tabs>
          <w:tab w:val="left" w:pos="851"/>
          <w:tab w:val="left" w:pos="993"/>
          <w:tab w:val="left" w:pos="7088"/>
          <w:tab w:val="right" w:pos="8647"/>
        </w:tabs>
        <w:jc w:val="both"/>
        <w:rPr>
          <w:rFonts w:ascii="Century Gothic" w:hAnsi="Century Gothic"/>
          <w:sz w:val="22"/>
        </w:rPr>
      </w:pPr>
      <w:r w:rsidRPr="001526A1">
        <w:rPr>
          <w:rFonts w:ascii="Century Gothic" w:hAnsi="Century Gothic"/>
          <w:sz w:val="22"/>
        </w:rPr>
        <w:t>Dankwart Neufurth</w:t>
      </w:r>
    </w:p>
    <w:p w14:paraId="6191FA58" w14:textId="77777777" w:rsidR="00BC3FAC" w:rsidRPr="00E30E7B" w:rsidRDefault="00E30E7B" w:rsidP="00E30E7B">
      <w:pPr>
        <w:tabs>
          <w:tab w:val="left" w:pos="4536"/>
          <w:tab w:val="left" w:pos="7088"/>
          <w:tab w:val="right" w:pos="8647"/>
        </w:tabs>
        <w:jc w:val="both"/>
        <w:rPr>
          <w:rFonts w:ascii="Century Gothic" w:hAnsi="Century Gothic"/>
          <w:sz w:val="22"/>
        </w:rPr>
      </w:pPr>
      <w:r w:rsidRPr="001526A1">
        <w:rPr>
          <w:rFonts w:ascii="Century Gothic" w:hAnsi="Century Gothic"/>
          <w:sz w:val="22"/>
        </w:rPr>
        <w:t>Stadtbürgermeister</w:t>
      </w:r>
      <w:r>
        <w:rPr>
          <w:rFonts w:ascii="Century Gothic" w:hAnsi="Century Gothic"/>
          <w:sz w:val="22"/>
        </w:rPr>
        <w:tab/>
        <w:t>(Siegel)</w:t>
      </w:r>
    </w:p>
    <w:p w14:paraId="383DEF5D" w14:textId="77777777" w:rsidR="00BC3FAC" w:rsidRDefault="00BC3FAC">
      <w:pPr>
        <w:rPr>
          <w:rFonts w:ascii="Century Gothic" w:hAnsi="Century Gothic"/>
        </w:rPr>
      </w:pPr>
      <w:r>
        <w:rPr>
          <w:rFonts w:ascii="Century Gothic" w:hAnsi="Century Gothic"/>
        </w:rPr>
        <w:br w:type="page"/>
      </w:r>
    </w:p>
    <w:p w14:paraId="3B14A41E" w14:textId="77777777" w:rsidR="0078341B" w:rsidRPr="00E46F74" w:rsidRDefault="00E46F74" w:rsidP="00E46F74">
      <w:pPr>
        <w:jc w:val="center"/>
        <w:rPr>
          <w:rFonts w:ascii="Tahoma" w:hAnsi="Tahoma" w:cs="Tahoma"/>
          <w:b/>
          <w:sz w:val="28"/>
          <w:szCs w:val="28"/>
          <w:u w:val="single"/>
        </w:rPr>
      </w:pPr>
      <w:r w:rsidRPr="00E46F74">
        <w:rPr>
          <w:rFonts w:ascii="Tahoma" w:hAnsi="Tahoma" w:cs="Tahoma"/>
          <w:b/>
          <w:sz w:val="28"/>
          <w:szCs w:val="28"/>
          <w:u w:val="single"/>
        </w:rPr>
        <w:t>Beschluss des Stadtrates am 27.06.2019</w:t>
      </w:r>
    </w:p>
    <w:p w14:paraId="21E8EADE" w14:textId="77777777" w:rsidR="00E46F74" w:rsidRDefault="00E46F74" w:rsidP="00375F0A">
      <w:pPr>
        <w:jc w:val="both"/>
        <w:rPr>
          <w:rFonts w:ascii="Century Gothic" w:hAnsi="Century Gothic"/>
        </w:rPr>
      </w:pPr>
    </w:p>
    <w:p w14:paraId="7F870390" w14:textId="77777777" w:rsidR="00E46F74" w:rsidRPr="00E46F74" w:rsidRDefault="00E46F74" w:rsidP="00E46F74">
      <w:pPr>
        <w:overflowPunct/>
        <w:autoSpaceDE/>
        <w:autoSpaceDN/>
        <w:adjustRightInd/>
        <w:jc w:val="both"/>
        <w:textAlignment w:val="auto"/>
        <w:rPr>
          <w:rFonts w:ascii="Tahoma" w:eastAsia="Calibri" w:hAnsi="Tahoma" w:cs="Tahoma"/>
          <w:szCs w:val="24"/>
          <w:lang w:eastAsia="en-US"/>
        </w:rPr>
      </w:pPr>
      <w:r w:rsidRPr="00E46F74">
        <w:rPr>
          <w:rFonts w:ascii="Tahoma" w:eastAsia="Calibri" w:hAnsi="Tahoma" w:cs="Tahoma"/>
          <w:szCs w:val="24"/>
          <w:lang w:eastAsia="en-US"/>
        </w:rPr>
        <w:t>Gemäß § 32 Abs. 1 Gemeindeordnung i. V. m. § 3 Abs. 1 der Hauptsatzung obliegt es dem Stadtrat, bestimmte Angelegenheiten einzeln oder allgemein einem Ausschuss zur Entscheidung zu übertragen, soweit § 32 Abs. 2 GemO dem nicht entgegensteht. Diese Regelungspraxis der bisherigen Legislaturperioden hat sich bewährt. Dem Stadtrat wird daher die Übertragung folgender Beschlusszuständigkeiten auf Ausschüsse vorgeschlagen:</w:t>
      </w:r>
    </w:p>
    <w:p w14:paraId="79A09F00" w14:textId="77777777" w:rsidR="00E46F74" w:rsidRPr="00E46F74" w:rsidRDefault="00E46F74" w:rsidP="00E46F74">
      <w:pPr>
        <w:overflowPunct/>
        <w:autoSpaceDE/>
        <w:autoSpaceDN/>
        <w:adjustRightInd/>
        <w:textAlignment w:val="auto"/>
        <w:rPr>
          <w:rFonts w:ascii="Tahoma" w:eastAsia="Calibri" w:hAnsi="Tahoma" w:cs="Tahoma"/>
          <w:szCs w:val="24"/>
          <w:lang w:eastAsia="en-US"/>
        </w:rPr>
      </w:pPr>
    </w:p>
    <w:p w14:paraId="2200AE39" w14:textId="77777777" w:rsidR="00E46F74" w:rsidRPr="00E46F74" w:rsidRDefault="00E46F74" w:rsidP="00E46F74">
      <w:pPr>
        <w:numPr>
          <w:ilvl w:val="0"/>
          <w:numId w:val="3"/>
        </w:numPr>
        <w:overflowPunct/>
        <w:autoSpaceDE/>
        <w:autoSpaceDN/>
        <w:adjustRightInd/>
        <w:jc w:val="both"/>
        <w:textAlignment w:val="auto"/>
        <w:rPr>
          <w:rFonts w:ascii="Tahoma" w:eastAsia="Calibri" w:hAnsi="Tahoma" w:cs="Tahoma"/>
          <w:szCs w:val="24"/>
          <w:lang w:eastAsia="en-US"/>
        </w:rPr>
      </w:pPr>
      <w:r w:rsidRPr="00E46F74">
        <w:rPr>
          <w:rFonts w:ascii="Tahoma" w:eastAsia="Calibri" w:hAnsi="Tahoma" w:cs="Tahoma"/>
          <w:b/>
          <w:szCs w:val="24"/>
          <w:u w:val="single"/>
          <w:lang w:eastAsia="en-US"/>
        </w:rPr>
        <w:t>Haupt- und Finanzausschuss</w:t>
      </w:r>
      <w:r w:rsidRPr="00E46F74">
        <w:rPr>
          <w:rFonts w:ascii="Tahoma" w:eastAsia="Calibri" w:hAnsi="Tahoma" w:cs="Tahoma"/>
          <w:b/>
          <w:szCs w:val="24"/>
          <w:u w:val="single"/>
          <w:lang w:eastAsia="en-US"/>
        </w:rPr>
        <w:tab/>
      </w:r>
      <w:r w:rsidRPr="00E46F74">
        <w:rPr>
          <w:rFonts w:ascii="Tahoma" w:eastAsia="Calibri" w:hAnsi="Tahoma" w:cs="Tahoma"/>
          <w:b/>
          <w:szCs w:val="24"/>
          <w:u w:val="single"/>
          <w:lang w:eastAsia="en-US"/>
        </w:rPr>
        <w:br/>
      </w:r>
      <w:r w:rsidRPr="00E46F74">
        <w:rPr>
          <w:rFonts w:ascii="Tahoma" w:eastAsia="Calibri" w:hAnsi="Tahoma" w:cs="Tahoma"/>
          <w:b/>
          <w:szCs w:val="24"/>
          <w:u w:val="single"/>
          <w:lang w:eastAsia="en-US"/>
        </w:rPr>
        <w:br/>
      </w:r>
      <w:r w:rsidRPr="00E46F74">
        <w:rPr>
          <w:rFonts w:ascii="Tahoma" w:eastAsia="Calibri" w:hAnsi="Tahoma" w:cs="Tahoma"/>
          <w:szCs w:val="24"/>
          <w:lang w:eastAsia="en-US"/>
        </w:rPr>
        <w:t xml:space="preserve">Genehmigung von Aufwendungen oder Auszahlungen sowie Auftragsvergaben im Rahmen der Haushaltsansätze bis zu einem Betrag von 25.000 Euro, soweit nicht die Zuständigkeit anderer Ausschüsse gegeben und die Entscheidung hierüber nicht der Stadtbürgermeisterin vorbehalten ist. </w:t>
      </w:r>
      <w:r w:rsidRPr="00E46F74">
        <w:rPr>
          <w:rFonts w:ascii="Tahoma" w:eastAsia="Calibri" w:hAnsi="Tahoma" w:cs="Tahoma"/>
          <w:szCs w:val="24"/>
          <w:lang w:eastAsia="en-US"/>
        </w:rPr>
        <w:tab/>
      </w:r>
      <w:r w:rsidRPr="00E46F74">
        <w:rPr>
          <w:rFonts w:ascii="Tahoma" w:eastAsia="Calibri" w:hAnsi="Tahoma" w:cs="Tahoma"/>
          <w:szCs w:val="24"/>
          <w:lang w:eastAsia="en-US"/>
        </w:rPr>
        <w:br/>
        <w:t>Stundungen und Forderungen von über 7.500 Euro bis 25.000 Euro.</w:t>
      </w:r>
      <w:r w:rsidRPr="00E46F74">
        <w:rPr>
          <w:rFonts w:ascii="Tahoma" w:eastAsia="Calibri" w:hAnsi="Tahoma" w:cs="Tahoma"/>
          <w:szCs w:val="24"/>
          <w:lang w:eastAsia="en-US"/>
        </w:rPr>
        <w:tab/>
      </w:r>
      <w:r w:rsidRPr="00E46F74">
        <w:rPr>
          <w:rFonts w:ascii="Tahoma" w:eastAsia="Calibri" w:hAnsi="Tahoma" w:cs="Tahoma"/>
          <w:szCs w:val="24"/>
          <w:lang w:eastAsia="en-US"/>
        </w:rPr>
        <w:br/>
        <w:t>Niederschlagung und Erlass von Forderungen von über 750 Euro bis 5.000 Euro.</w:t>
      </w:r>
      <w:r w:rsidRPr="00E46F74">
        <w:rPr>
          <w:rFonts w:ascii="Tahoma" w:eastAsia="Calibri" w:hAnsi="Tahoma" w:cs="Tahoma"/>
          <w:szCs w:val="24"/>
          <w:lang w:eastAsia="en-US"/>
        </w:rPr>
        <w:br/>
      </w:r>
    </w:p>
    <w:p w14:paraId="0F2897DA" w14:textId="77777777" w:rsidR="00E46F74" w:rsidRPr="00E46F74" w:rsidRDefault="00E46F74" w:rsidP="00E46F74">
      <w:pPr>
        <w:numPr>
          <w:ilvl w:val="0"/>
          <w:numId w:val="3"/>
        </w:numPr>
        <w:overflowPunct/>
        <w:autoSpaceDE/>
        <w:autoSpaceDN/>
        <w:adjustRightInd/>
        <w:jc w:val="both"/>
        <w:textAlignment w:val="auto"/>
        <w:rPr>
          <w:rFonts w:ascii="Tahoma" w:eastAsia="Calibri" w:hAnsi="Tahoma" w:cs="Tahoma"/>
          <w:szCs w:val="24"/>
          <w:lang w:eastAsia="en-US"/>
        </w:rPr>
      </w:pPr>
      <w:r w:rsidRPr="00E46F74">
        <w:rPr>
          <w:rFonts w:ascii="Tahoma" w:eastAsia="Calibri" w:hAnsi="Tahoma" w:cs="Tahoma"/>
          <w:b/>
          <w:szCs w:val="24"/>
          <w:u w:val="single"/>
          <w:lang w:eastAsia="en-US"/>
        </w:rPr>
        <w:t>Ausschuss für Raumordnung, Städtebau, Umwelt und Friedhofsfragen</w:t>
      </w:r>
      <w:r w:rsidRPr="00E46F74">
        <w:rPr>
          <w:rFonts w:ascii="Tahoma" w:eastAsia="Calibri" w:hAnsi="Tahoma" w:cs="Tahoma"/>
          <w:szCs w:val="24"/>
          <w:lang w:eastAsia="en-US"/>
        </w:rPr>
        <w:br/>
      </w:r>
      <w:r w:rsidRPr="00E46F74">
        <w:rPr>
          <w:rFonts w:ascii="Tahoma" w:eastAsia="Calibri" w:hAnsi="Tahoma" w:cs="Tahoma"/>
          <w:szCs w:val="24"/>
          <w:lang w:eastAsia="en-US"/>
        </w:rPr>
        <w:br/>
        <w:t xml:space="preserve">Vergabe von Bauaufträgen im Rahmen der Haushaltsansätze bis zu einem Betrag von 25.000  Euro, sofern die Entscheidung hierüber nicht der Stadtbürgermeisterin vorbehalten ist. </w:t>
      </w:r>
      <w:r w:rsidRPr="00E46F74">
        <w:rPr>
          <w:rFonts w:ascii="Tahoma" w:eastAsia="Calibri" w:hAnsi="Tahoma" w:cs="Tahoma"/>
          <w:szCs w:val="24"/>
          <w:lang w:eastAsia="en-US"/>
        </w:rPr>
        <w:tab/>
      </w:r>
      <w:r w:rsidRPr="00E46F74">
        <w:rPr>
          <w:rFonts w:ascii="Tahoma" w:eastAsia="Calibri" w:hAnsi="Tahoma" w:cs="Tahoma"/>
          <w:szCs w:val="24"/>
          <w:lang w:eastAsia="en-US"/>
        </w:rPr>
        <w:br/>
        <w:t xml:space="preserve">Erteilung eines Einvernehmens in den Fällen des § 14 Abs. 2, § 31 und § 33 BauGB und in den Fällen der § 34 und 35 BauGB, wenn durch das Bauvorhaben die Grundzüge der städtebaulichen Entwicklung und Ordnung nicht berührt werden. </w:t>
      </w:r>
      <w:r w:rsidRPr="00E46F74">
        <w:rPr>
          <w:rFonts w:ascii="Tahoma" w:eastAsia="Calibri" w:hAnsi="Tahoma" w:cs="Tahoma"/>
          <w:szCs w:val="24"/>
          <w:lang w:eastAsia="en-US"/>
        </w:rPr>
        <w:br/>
      </w:r>
    </w:p>
    <w:p w14:paraId="23564330" w14:textId="77777777" w:rsidR="00E46F74" w:rsidRPr="00E46F74" w:rsidRDefault="00E46F74" w:rsidP="00E46F74">
      <w:pPr>
        <w:overflowPunct/>
        <w:autoSpaceDE/>
        <w:autoSpaceDN/>
        <w:adjustRightInd/>
        <w:jc w:val="both"/>
        <w:textAlignment w:val="auto"/>
        <w:rPr>
          <w:rFonts w:ascii="Tahoma" w:eastAsia="Calibri" w:hAnsi="Tahoma" w:cs="Tahoma"/>
          <w:szCs w:val="24"/>
          <w:lang w:eastAsia="en-US"/>
        </w:rPr>
      </w:pPr>
      <w:r w:rsidRPr="00E46F74">
        <w:rPr>
          <w:rFonts w:ascii="Tahoma" w:eastAsia="Calibri" w:hAnsi="Tahoma" w:cs="Tahoma"/>
          <w:szCs w:val="24"/>
          <w:lang w:eastAsia="en-US"/>
        </w:rPr>
        <w:t>Die Zuständigkeit der Stadtbürgermeisterin für die laufende Verwaltung gemäß § 47 Abs. 1 Satz 2 Nr. 3 GemO sowie § 4 der Hauptsatzung bleiben von den vorstehenden Aufgabenübertragungen unberührt.</w:t>
      </w:r>
    </w:p>
    <w:p w14:paraId="3F5C5CBB" w14:textId="77777777" w:rsidR="00E46F74" w:rsidRDefault="00E46F74" w:rsidP="00375F0A">
      <w:pPr>
        <w:jc w:val="both"/>
        <w:rPr>
          <w:rFonts w:ascii="Century Gothic" w:hAnsi="Century Gothic"/>
        </w:rPr>
      </w:pPr>
    </w:p>
    <w:p w14:paraId="555E5909" w14:textId="77777777" w:rsidR="00E46F74" w:rsidRDefault="00E46F74" w:rsidP="00375F0A">
      <w:pPr>
        <w:jc w:val="both"/>
        <w:rPr>
          <w:rFonts w:ascii="Century Gothic" w:hAnsi="Century Gothic"/>
        </w:rPr>
      </w:pPr>
    </w:p>
    <w:sectPr w:rsidR="00E46F74" w:rsidSect="00E30E7B">
      <w:headerReference w:type="even" r:id="rId8"/>
      <w:headerReference w:type="default" r:id="rId9"/>
      <w:pgSz w:w="11907" w:h="16840" w:code="9"/>
      <w:pgMar w:top="1418" w:right="1418" w:bottom="993"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29EB" w14:textId="77777777" w:rsidR="008E27BA" w:rsidRDefault="008E27BA">
      <w:r>
        <w:separator/>
      </w:r>
    </w:p>
  </w:endnote>
  <w:endnote w:type="continuationSeparator" w:id="0">
    <w:p w14:paraId="585E1DE7" w14:textId="77777777" w:rsidR="008E27BA" w:rsidRDefault="008E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6FFC" w14:textId="77777777" w:rsidR="008E27BA" w:rsidRDefault="008E27BA">
      <w:r>
        <w:separator/>
      </w:r>
    </w:p>
  </w:footnote>
  <w:footnote w:type="continuationSeparator" w:id="0">
    <w:p w14:paraId="43C1BDA9" w14:textId="77777777" w:rsidR="008E27BA" w:rsidRDefault="008E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3B49" w14:textId="77777777" w:rsidR="00F468D9" w:rsidRDefault="00F468D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3AB14A5" w14:textId="77777777" w:rsidR="00F468D9" w:rsidRDefault="00F468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D3AF" w14:textId="77777777" w:rsidR="00F468D9" w:rsidRDefault="00F468D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46F74">
      <w:rPr>
        <w:rStyle w:val="Seitenzahl"/>
        <w:noProof/>
      </w:rPr>
      <w:t>2</w:t>
    </w:r>
    <w:r>
      <w:rPr>
        <w:rStyle w:val="Seitenzahl"/>
      </w:rPr>
      <w:fldChar w:fldCharType="end"/>
    </w:r>
  </w:p>
  <w:p w14:paraId="1417B71F" w14:textId="77777777" w:rsidR="00F468D9" w:rsidRDefault="00F468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00173"/>
    <w:multiLevelType w:val="hybridMultilevel"/>
    <w:tmpl w:val="826CD0AE"/>
    <w:lvl w:ilvl="0" w:tplc="6C4E7CA2">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8296361"/>
    <w:multiLevelType w:val="hybridMultilevel"/>
    <w:tmpl w:val="75AA62F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312819A8"/>
    <w:multiLevelType w:val="hybridMultilevel"/>
    <w:tmpl w:val="70CCB08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8DB6B72"/>
    <w:multiLevelType w:val="hybridMultilevel"/>
    <w:tmpl w:val="117647D6"/>
    <w:lvl w:ilvl="0" w:tplc="38DEED96">
      <w:start w:val="1"/>
      <w:numFmt w:val="decimal"/>
      <w:lvlText w:val="%1."/>
      <w:lvlJc w:val="left"/>
      <w:pPr>
        <w:ind w:left="868" w:hanging="360"/>
      </w:pPr>
      <w:rPr>
        <w:rFonts w:hint="default"/>
      </w:rPr>
    </w:lvl>
    <w:lvl w:ilvl="1" w:tplc="04070019">
      <w:start w:val="1"/>
      <w:numFmt w:val="lowerLetter"/>
      <w:lvlText w:val="%2."/>
      <w:lvlJc w:val="left"/>
      <w:pPr>
        <w:ind w:left="1588" w:hanging="360"/>
      </w:pPr>
    </w:lvl>
    <w:lvl w:ilvl="2" w:tplc="0407001B" w:tentative="1">
      <w:start w:val="1"/>
      <w:numFmt w:val="lowerRoman"/>
      <w:lvlText w:val="%3."/>
      <w:lvlJc w:val="right"/>
      <w:pPr>
        <w:ind w:left="2308" w:hanging="180"/>
      </w:pPr>
    </w:lvl>
    <w:lvl w:ilvl="3" w:tplc="0407000F" w:tentative="1">
      <w:start w:val="1"/>
      <w:numFmt w:val="decimal"/>
      <w:lvlText w:val="%4."/>
      <w:lvlJc w:val="left"/>
      <w:pPr>
        <w:ind w:left="3028" w:hanging="360"/>
      </w:pPr>
    </w:lvl>
    <w:lvl w:ilvl="4" w:tplc="04070019" w:tentative="1">
      <w:start w:val="1"/>
      <w:numFmt w:val="lowerLetter"/>
      <w:lvlText w:val="%5."/>
      <w:lvlJc w:val="left"/>
      <w:pPr>
        <w:ind w:left="3748" w:hanging="360"/>
      </w:pPr>
    </w:lvl>
    <w:lvl w:ilvl="5" w:tplc="0407001B" w:tentative="1">
      <w:start w:val="1"/>
      <w:numFmt w:val="lowerRoman"/>
      <w:lvlText w:val="%6."/>
      <w:lvlJc w:val="right"/>
      <w:pPr>
        <w:ind w:left="4468" w:hanging="180"/>
      </w:pPr>
    </w:lvl>
    <w:lvl w:ilvl="6" w:tplc="0407000F" w:tentative="1">
      <w:start w:val="1"/>
      <w:numFmt w:val="decimal"/>
      <w:lvlText w:val="%7."/>
      <w:lvlJc w:val="left"/>
      <w:pPr>
        <w:ind w:left="5188" w:hanging="360"/>
      </w:pPr>
    </w:lvl>
    <w:lvl w:ilvl="7" w:tplc="04070019" w:tentative="1">
      <w:start w:val="1"/>
      <w:numFmt w:val="lowerLetter"/>
      <w:lvlText w:val="%8."/>
      <w:lvlJc w:val="left"/>
      <w:pPr>
        <w:ind w:left="5908" w:hanging="360"/>
      </w:pPr>
    </w:lvl>
    <w:lvl w:ilvl="8" w:tplc="0407001B" w:tentative="1">
      <w:start w:val="1"/>
      <w:numFmt w:val="lowerRoman"/>
      <w:lvlText w:val="%9."/>
      <w:lvlJc w:val="right"/>
      <w:pPr>
        <w:ind w:left="6628" w:hanging="180"/>
      </w:pPr>
    </w:lvl>
  </w:abstractNum>
  <w:abstractNum w:abstractNumId="4" w15:restartNumberingAfterBreak="0">
    <w:nsid w:val="49976742"/>
    <w:multiLevelType w:val="hybridMultilevel"/>
    <w:tmpl w:val="9086DB78"/>
    <w:lvl w:ilvl="0" w:tplc="2E12F0E2">
      <w:start w:val="1"/>
      <w:numFmt w:val="decimal"/>
      <w:lvlText w:val="%1."/>
      <w:lvlJc w:val="left"/>
      <w:pPr>
        <w:ind w:left="868" w:hanging="360"/>
      </w:pPr>
      <w:rPr>
        <w:rFonts w:hint="default"/>
      </w:rPr>
    </w:lvl>
    <w:lvl w:ilvl="1" w:tplc="04070019" w:tentative="1">
      <w:start w:val="1"/>
      <w:numFmt w:val="lowerLetter"/>
      <w:lvlText w:val="%2."/>
      <w:lvlJc w:val="left"/>
      <w:pPr>
        <w:ind w:left="1588" w:hanging="360"/>
      </w:pPr>
    </w:lvl>
    <w:lvl w:ilvl="2" w:tplc="0407001B" w:tentative="1">
      <w:start w:val="1"/>
      <w:numFmt w:val="lowerRoman"/>
      <w:lvlText w:val="%3."/>
      <w:lvlJc w:val="right"/>
      <w:pPr>
        <w:ind w:left="2308" w:hanging="180"/>
      </w:pPr>
    </w:lvl>
    <w:lvl w:ilvl="3" w:tplc="0407000F" w:tentative="1">
      <w:start w:val="1"/>
      <w:numFmt w:val="decimal"/>
      <w:lvlText w:val="%4."/>
      <w:lvlJc w:val="left"/>
      <w:pPr>
        <w:ind w:left="3028" w:hanging="360"/>
      </w:pPr>
    </w:lvl>
    <w:lvl w:ilvl="4" w:tplc="04070019" w:tentative="1">
      <w:start w:val="1"/>
      <w:numFmt w:val="lowerLetter"/>
      <w:lvlText w:val="%5."/>
      <w:lvlJc w:val="left"/>
      <w:pPr>
        <w:ind w:left="3748" w:hanging="360"/>
      </w:pPr>
    </w:lvl>
    <w:lvl w:ilvl="5" w:tplc="0407001B" w:tentative="1">
      <w:start w:val="1"/>
      <w:numFmt w:val="lowerRoman"/>
      <w:lvlText w:val="%6."/>
      <w:lvlJc w:val="right"/>
      <w:pPr>
        <w:ind w:left="4468" w:hanging="180"/>
      </w:pPr>
    </w:lvl>
    <w:lvl w:ilvl="6" w:tplc="0407000F" w:tentative="1">
      <w:start w:val="1"/>
      <w:numFmt w:val="decimal"/>
      <w:lvlText w:val="%7."/>
      <w:lvlJc w:val="left"/>
      <w:pPr>
        <w:ind w:left="5188" w:hanging="360"/>
      </w:pPr>
    </w:lvl>
    <w:lvl w:ilvl="7" w:tplc="04070019" w:tentative="1">
      <w:start w:val="1"/>
      <w:numFmt w:val="lowerLetter"/>
      <w:lvlText w:val="%8."/>
      <w:lvlJc w:val="left"/>
      <w:pPr>
        <w:ind w:left="5908" w:hanging="360"/>
      </w:pPr>
    </w:lvl>
    <w:lvl w:ilvl="8" w:tplc="0407001B" w:tentative="1">
      <w:start w:val="1"/>
      <w:numFmt w:val="lowerRoman"/>
      <w:lvlText w:val="%9."/>
      <w:lvlJc w:val="right"/>
      <w:pPr>
        <w:ind w:left="6628" w:hanging="180"/>
      </w:pPr>
    </w:lvl>
  </w:abstractNum>
  <w:num w:numId="1" w16cid:durableId="558247489">
    <w:abstractNumId w:val="1"/>
  </w:num>
  <w:num w:numId="2" w16cid:durableId="806162106">
    <w:abstractNumId w:val="2"/>
  </w:num>
  <w:num w:numId="3" w16cid:durableId="1825505325">
    <w:abstractNumId w:val="0"/>
  </w:num>
  <w:num w:numId="4" w16cid:durableId="2017269370">
    <w:abstractNumId w:val="4"/>
  </w:num>
  <w:num w:numId="5" w16cid:durableId="1609580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AC"/>
    <w:rsid w:val="000217C3"/>
    <w:rsid w:val="00065B18"/>
    <w:rsid w:val="000F3A53"/>
    <w:rsid w:val="000F3EEE"/>
    <w:rsid w:val="00107FBD"/>
    <w:rsid w:val="00140E49"/>
    <w:rsid w:val="001526A1"/>
    <w:rsid w:val="0022614E"/>
    <w:rsid w:val="002945FF"/>
    <w:rsid w:val="00370480"/>
    <w:rsid w:val="00375F0A"/>
    <w:rsid w:val="003D74F9"/>
    <w:rsid w:val="004328A0"/>
    <w:rsid w:val="004E10C3"/>
    <w:rsid w:val="005024BF"/>
    <w:rsid w:val="0051710B"/>
    <w:rsid w:val="00526AE2"/>
    <w:rsid w:val="00664FBD"/>
    <w:rsid w:val="007120E1"/>
    <w:rsid w:val="00721CDD"/>
    <w:rsid w:val="00766599"/>
    <w:rsid w:val="00771704"/>
    <w:rsid w:val="0078341B"/>
    <w:rsid w:val="007F03B0"/>
    <w:rsid w:val="008523A8"/>
    <w:rsid w:val="008E27BA"/>
    <w:rsid w:val="009E068F"/>
    <w:rsid w:val="009F252C"/>
    <w:rsid w:val="00A460D6"/>
    <w:rsid w:val="00A548D7"/>
    <w:rsid w:val="00A741E8"/>
    <w:rsid w:val="00A862B1"/>
    <w:rsid w:val="00BC3FAC"/>
    <w:rsid w:val="00BD009B"/>
    <w:rsid w:val="00BE4EEC"/>
    <w:rsid w:val="00C22624"/>
    <w:rsid w:val="00C35B10"/>
    <w:rsid w:val="00C42A36"/>
    <w:rsid w:val="00CA46D8"/>
    <w:rsid w:val="00CB5D11"/>
    <w:rsid w:val="00CC10E1"/>
    <w:rsid w:val="00E30E7B"/>
    <w:rsid w:val="00E46F74"/>
    <w:rsid w:val="00E837E7"/>
    <w:rsid w:val="00F03499"/>
    <w:rsid w:val="00F468D9"/>
    <w:rsid w:val="00F52DF8"/>
    <w:rsid w:val="00F754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200DF"/>
  <w15:docId w15:val="{69F79141-ED70-4E89-BF9D-E9C538CB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pPr>
      <w:keepNext/>
      <w:jc w:val="both"/>
      <w:outlineLvl w:val="0"/>
    </w:pPr>
    <w:rPr>
      <w:rFonts w:ascii="Century Gothic" w:hAnsi="Century Gothic"/>
      <w:b/>
      <w:i/>
      <w:sz w:val="22"/>
    </w:rPr>
  </w:style>
  <w:style w:type="paragraph" w:styleId="berschrift2">
    <w:name w:val="heading 2"/>
    <w:basedOn w:val="Standard"/>
    <w:next w:val="Standard"/>
    <w:qFormat/>
    <w:pPr>
      <w:keepNext/>
      <w:jc w:val="center"/>
      <w:outlineLvl w:val="1"/>
    </w:pPr>
    <w:rPr>
      <w:rFonts w:ascii="Century Gothic" w:hAnsi="Century Gothic"/>
      <w:b/>
      <w:sz w:val="28"/>
    </w:rPr>
  </w:style>
  <w:style w:type="paragraph" w:styleId="berschrift3">
    <w:name w:val="heading 3"/>
    <w:basedOn w:val="Standard"/>
    <w:next w:val="Standard"/>
    <w:qFormat/>
    <w:pPr>
      <w:keepNext/>
      <w:shd w:val="clear" w:color="auto" w:fill="D9D9D9"/>
      <w:jc w:val="center"/>
      <w:outlineLvl w:val="2"/>
    </w:pPr>
    <w:rPr>
      <w:rFonts w:ascii="Century Gothic" w:hAnsi="Century Gothic"/>
      <w:b/>
      <w:bCs/>
      <w:i/>
      <w:i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semiHidden/>
    <w:pPr>
      <w:framePr w:w="7938" w:h="1985" w:hRule="exact" w:hSpace="141" w:wrap="auto" w:hAnchor="page" w:xAlign="center" w:yAlign="bottom"/>
      <w:ind w:left="2835"/>
    </w:pPr>
    <w:rPr>
      <w:b/>
    </w:r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Titel">
    <w:name w:val="Title"/>
    <w:basedOn w:val="Standard"/>
    <w:qFormat/>
    <w:pPr>
      <w:jc w:val="center"/>
    </w:pPr>
    <w:rPr>
      <w:rFonts w:ascii="Century Gothic" w:hAnsi="Century Gothic"/>
      <w:b/>
      <w:sz w:val="22"/>
      <w:u w:val="single"/>
    </w:rPr>
  </w:style>
  <w:style w:type="paragraph" w:styleId="Textkrper">
    <w:name w:val="Body Text"/>
    <w:basedOn w:val="Standard"/>
    <w:semiHidden/>
    <w:pPr>
      <w:jc w:val="both"/>
    </w:pPr>
    <w:rPr>
      <w:rFonts w:ascii="Century Gothic" w:hAnsi="Century Gothic"/>
      <w:sz w:val="22"/>
    </w:rPr>
  </w:style>
  <w:style w:type="paragraph" w:styleId="Textkrper-Zeileneinzug">
    <w:name w:val="Body Text Indent"/>
    <w:basedOn w:val="Standard"/>
    <w:semiHidden/>
    <w:pPr>
      <w:ind w:left="709" w:hanging="709"/>
      <w:jc w:val="both"/>
    </w:pPr>
    <w:rPr>
      <w:rFonts w:ascii="Century Gothic" w:hAnsi="Century Gothic"/>
      <w:sz w:val="22"/>
    </w:rPr>
  </w:style>
  <w:style w:type="paragraph" w:styleId="Sprechblasentext">
    <w:name w:val="Balloon Text"/>
    <w:basedOn w:val="Standard"/>
    <w:link w:val="SprechblasentextZchn"/>
    <w:uiPriority w:val="99"/>
    <w:semiHidden/>
    <w:unhideWhenUsed/>
    <w:rsid w:val="00140E49"/>
    <w:rPr>
      <w:rFonts w:ascii="Tahoma" w:hAnsi="Tahoma" w:cs="Tahoma"/>
      <w:sz w:val="16"/>
      <w:szCs w:val="16"/>
    </w:rPr>
  </w:style>
  <w:style w:type="character" w:customStyle="1" w:styleId="SprechblasentextZchn">
    <w:name w:val="Sprechblasentext Zchn"/>
    <w:link w:val="Sprechblasentext"/>
    <w:uiPriority w:val="99"/>
    <w:semiHidden/>
    <w:rsid w:val="00140E49"/>
    <w:rPr>
      <w:rFonts w:ascii="Tahoma" w:hAnsi="Tahoma" w:cs="Tahoma"/>
      <w:sz w:val="16"/>
      <w:szCs w:val="16"/>
    </w:rPr>
  </w:style>
  <w:style w:type="paragraph" w:styleId="Listenabsatz">
    <w:name w:val="List Paragraph"/>
    <w:basedOn w:val="Standard"/>
    <w:uiPriority w:val="1"/>
    <w:qFormat/>
    <w:rsid w:val="00A862B1"/>
    <w:pPr>
      <w:widowControl w:val="0"/>
      <w:overflowPunct/>
      <w:adjustRightInd/>
      <w:ind w:left="148"/>
      <w:jc w:val="both"/>
      <w:textAlignment w:val="auto"/>
    </w:pPr>
    <w:rPr>
      <w:rFonts w:ascii="Century Gothic" w:eastAsia="Century Gothic" w:hAnsi="Century Gothic" w:cs="Century Gothic"/>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55B6-8EE3-4A04-BA2D-375BB2D1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2230</Words>
  <Characters>14051</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Entwurf</vt:lpstr>
    </vt:vector>
  </TitlesOfParts>
  <Company>VG Bad Marienberg</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dc:title>
  <dc:creator>Verbandsgemeinde</dc:creator>
  <cp:lastModifiedBy>Gerd Schell</cp:lastModifiedBy>
  <cp:revision>3</cp:revision>
  <cp:lastPrinted>2011-11-28T09:17:00Z</cp:lastPrinted>
  <dcterms:created xsi:type="dcterms:W3CDTF">2026-06-30T17:53:00Z</dcterms:created>
  <dcterms:modified xsi:type="dcterms:W3CDTF">2026-06-30T17:59:00Z</dcterms:modified>
</cp:coreProperties>
</file>